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00" w:rsidRDefault="00FB6800" w:rsidP="00E81AE5">
      <w:pPr>
        <w:autoSpaceDE w:val="0"/>
        <w:autoSpaceDN w:val="0"/>
        <w:rPr>
          <w:rFonts w:ascii="Times New Roman" w:hAnsi="Times New Roman"/>
        </w:rPr>
      </w:pPr>
    </w:p>
    <w:p w:rsidR="00E81AE5" w:rsidRDefault="00E81AE5" w:rsidP="00E81AE5">
      <w:pPr>
        <w:autoSpaceDE w:val="0"/>
        <w:autoSpaceDN w:val="0"/>
        <w:rPr>
          <w:rFonts w:ascii="Times New Roman" w:hAnsi="Times New Roman"/>
        </w:rPr>
      </w:pPr>
      <w:r>
        <w:rPr>
          <w:rFonts w:ascii="Times New Roman" w:hAnsi="Times New Roman"/>
        </w:rPr>
        <w:t>To:       The University Community</w:t>
      </w:r>
      <w:r>
        <w:rPr>
          <w:rFonts w:ascii="Times New Roman" w:hAnsi="Times New Roman"/>
        </w:rPr>
        <w:br/>
        <w:t>From:   Marie Bowen, Vice Chancellor for Human Resources</w:t>
      </w:r>
      <w:r>
        <w:rPr>
          <w:rFonts w:ascii="Times New Roman" w:hAnsi="Times New Roman"/>
        </w:rPr>
        <w:br/>
        <w:t>Date:</w:t>
      </w:r>
      <w:r>
        <w:rPr>
          <w:rFonts w:ascii="Times New Roman" w:hAnsi="Times New Roman"/>
        </w:rPr>
        <w:tab/>
      </w:r>
      <w:r w:rsidR="00945535">
        <w:rPr>
          <w:rFonts w:ascii="Times New Roman" w:hAnsi="Times New Roman"/>
          <w:color w:val="FF0000"/>
        </w:rPr>
        <w:t xml:space="preserve"> </w:t>
      </w:r>
      <w:r w:rsidR="00945535" w:rsidRPr="00E6359C">
        <w:rPr>
          <w:rFonts w:ascii="Times New Roman" w:hAnsi="Times New Roman"/>
        </w:rPr>
        <w:t>October 19</w:t>
      </w:r>
      <w:r w:rsidRPr="00E6359C">
        <w:rPr>
          <w:rFonts w:ascii="Times New Roman" w:hAnsi="Times New Roman"/>
        </w:rPr>
        <w:t>, 2017</w:t>
      </w:r>
      <w:r>
        <w:rPr>
          <w:rFonts w:ascii="Times New Roman" w:hAnsi="Times New Roman"/>
        </w:rPr>
        <w:br/>
        <w:t>Re:       Legal Holidays Observed and Campus Closures for 2017, 2018 and 2019</w:t>
      </w:r>
    </w:p>
    <w:p w:rsidR="00E81AE5" w:rsidRDefault="00E81AE5" w:rsidP="00E81AE5">
      <w:pPr>
        <w:spacing w:after="240"/>
        <w:rPr>
          <w:rFonts w:ascii="Times New Roman" w:hAnsi="Times New Roman"/>
        </w:rPr>
      </w:pPr>
      <w:r>
        <w:rPr>
          <w:rFonts w:ascii="Times New Roman" w:hAnsi="Times New Roman"/>
        </w:rPr>
        <w:t>Following is a list of dates on</w:t>
      </w:r>
      <w:bookmarkStart w:id="0" w:name="_GoBack"/>
      <w:bookmarkEnd w:id="0"/>
      <w:r>
        <w:rPr>
          <w:rFonts w:ascii="Times New Roman" w:hAnsi="Times New Roman"/>
        </w:rPr>
        <w:t xml:space="preserve"> which UMass Boston will be closed in calendar years 2018 and 2019</w:t>
      </w:r>
      <w:r w:rsidR="00A44007">
        <w:rPr>
          <w:rFonts w:ascii="Times New Roman" w:hAnsi="Times New Roman"/>
        </w:rPr>
        <w:t>, as well as for the remainder of 2017</w:t>
      </w:r>
      <w:r>
        <w:rPr>
          <w:rFonts w:ascii="Times New Roman" w:hAnsi="Times New Roman"/>
        </w:rPr>
        <w:t>.</w:t>
      </w:r>
    </w:p>
    <w:tbl>
      <w:tblPr>
        <w:tblW w:w="909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60"/>
        <w:gridCol w:w="1800"/>
        <w:gridCol w:w="2430"/>
        <w:gridCol w:w="1800"/>
      </w:tblGrid>
      <w:tr w:rsidR="005B54AE" w:rsidTr="00B57BB9">
        <w:trPr>
          <w:trHeight w:val="20"/>
        </w:trPr>
        <w:tc>
          <w:tcPr>
            <w:tcW w:w="3060" w:type="dxa"/>
            <w:tcBorders>
              <w:top w:val="single" w:sz="4" w:space="0" w:color="auto"/>
              <w:bottom w:val="single" w:sz="4" w:space="0" w:color="auto"/>
              <w:right w:val="single" w:sz="4" w:space="0" w:color="auto"/>
            </w:tcBorders>
            <w:shd w:val="clear" w:color="auto" w:fill="D9D9D9"/>
          </w:tcPr>
          <w:p w:rsidR="005B54AE" w:rsidRPr="00344B01" w:rsidRDefault="005B54AE" w:rsidP="005B54AE">
            <w:pPr>
              <w:spacing w:after="0"/>
              <w:jc w:val="center"/>
              <w:rPr>
                <w:rFonts w:ascii="Times New Roman" w:eastAsia="Calibri" w:hAnsi="Times New Roman"/>
                <w:b/>
                <w:bCs/>
                <w:sz w:val="22"/>
                <w:szCs w:val="22"/>
              </w:rPr>
            </w:pPr>
          </w:p>
          <w:p w:rsidR="005B54AE" w:rsidRPr="00344B01" w:rsidRDefault="005B54AE" w:rsidP="005B54AE">
            <w:pPr>
              <w:spacing w:after="0"/>
              <w:jc w:val="center"/>
              <w:rPr>
                <w:rFonts w:ascii="Times New Roman" w:eastAsia="Calibri" w:hAnsi="Times New Roman"/>
                <w:b/>
                <w:bCs/>
                <w:sz w:val="22"/>
                <w:szCs w:val="22"/>
              </w:rPr>
            </w:pPr>
            <w:r w:rsidRPr="00344B01">
              <w:rPr>
                <w:rFonts w:ascii="Times New Roman" w:eastAsia="Calibri" w:hAnsi="Times New Roman"/>
                <w:b/>
                <w:bCs/>
                <w:sz w:val="22"/>
                <w:szCs w:val="22"/>
              </w:rPr>
              <w:t>Legal Holiday</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5B54AE" w:rsidRPr="00344B01" w:rsidRDefault="005B54AE" w:rsidP="005B54AE">
            <w:pPr>
              <w:spacing w:after="0"/>
              <w:jc w:val="center"/>
              <w:rPr>
                <w:rFonts w:ascii="Times New Roman" w:eastAsia="Calibri" w:hAnsi="Times New Roman"/>
                <w:b/>
                <w:bCs/>
                <w:sz w:val="22"/>
                <w:szCs w:val="22"/>
              </w:rPr>
            </w:pPr>
          </w:p>
          <w:p w:rsidR="005B54AE" w:rsidRPr="00344B01" w:rsidRDefault="005B54AE" w:rsidP="005B54AE">
            <w:pPr>
              <w:spacing w:after="0"/>
              <w:jc w:val="center"/>
              <w:rPr>
                <w:rFonts w:ascii="Times New Roman" w:eastAsia="Calibri" w:hAnsi="Times New Roman"/>
                <w:b/>
                <w:bCs/>
                <w:sz w:val="22"/>
                <w:szCs w:val="22"/>
              </w:rPr>
            </w:pPr>
            <w:r>
              <w:rPr>
                <w:rFonts w:ascii="Times New Roman" w:eastAsia="Calibri" w:hAnsi="Times New Roman"/>
                <w:b/>
                <w:bCs/>
                <w:sz w:val="22"/>
                <w:szCs w:val="22"/>
              </w:rPr>
              <w:t>2017</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5B54AE" w:rsidRDefault="005B54AE" w:rsidP="005B54AE">
            <w:pPr>
              <w:spacing w:after="0"/>
              <w:jc w:val="center"/>
              <w:rPr>
                <w:rFonts w:ascii="Times New Roman" w:eastAsia="Calibri" w:hAnsi="Times New Roman"/>
                <w:b/>
                <w:bCs/>
                <w:sz w:val="22"/>
                <w:szCs w:val="22"/>
              </w:rPr>
            </w:pPr>
          </w:p>
          <w:p w:rsidR="005B54AE" w:rsidRPr="00F11CA0" w:rsidRDefault="005B54AE" w:rsidP="005B54AE">
            <w:pPr>
              <w:spacing w:after="0"/>
              <w:jc w:val="center"/>
              <w:rPr>
                <w:rFonts w:ascii="Times New Roman" w:eastAsia="Calibri" w:hAnsi="Times New Roman"/>
                <w:b/>
                <w:sz w:val="22"/>
                <w:szCs w:val="22"/>
              </w:rPr>
            </w:pPr>
            <w:r>
              <w:rPr>
                <w:rFonts w:ascii="Times New Roman" w:eastAsia="Calibri" w:hAnsi="Times New Roman"/>
                <w:b/>
                <w:sz w:val="22"/>
                <w:szCs w:val="22"/>
              </w:rPr>
              <w:t>2018</w:t>
            </w:r>
          </w:p>
        </w:tc>
        <w:tc>
          <w:tcPr>
            <w:tcW w:w="1800" w:type="dxa"/>
            <w:tcBorders>
              <w:top w:val="single" w:sz="4" w:space="0" w:color="auto"/>
              <w:left w:val="single" w:sz="4" w:space="0" w:color="auto"/>
              <w:bottom w:val="single" w:sz="4" w:space="0" w:color="auto"/>
            </w:tcBorders>
            <w:shd w:val="clear" w:color="auto" w:fill="D9D9D9"/>
          </w:tcPr>
          <w:p w:rsidR="005B54AE" w:rsidRPr="00344B01" w:rsidRDefault="005B54AE" w:rsidP="005B54AE">
            <w:pPr>
              <w:spacing w:after="0"/>
              <w:jc w:val="center"/>
              <w:rPr>
                <w:rFonts w:ascii="Times New Roman" w:eastAsia="Calibri" w:hAnsi="Times New Roman"/>
                <w:b/>
                <w:bCs/>
                <w:sz w:val="22"/>
                <w:szCs w:val="22"/>
              </w:rPr>
            </w:pPr>
          </w:p>
          <w:p w:rsidR="005B54AE" w:rsidRPr="00344B01" w:rsidRDefault="005B54AE" w:rsidP="005B54AE">
            <w:pPr>
              <w:spacing w:after="0"/>
              <w:jc w:val="center"/>
              <w:rPr>
                <w:rFonts w:ascii="Times New Roman" w:eastAsia="Calibri" w:hAnsi="Times New Roman"/>
                <w:b/>
                <w:bCs/>
                <w:sz w:val="22"/>
                <w:szCs w:val="22"/>
              </w:rPr>
            </w:pPr>
            <w:r>
              <w:rPr>
                <w:rFonts w:ascii="Times New Roman" w:eastAsia="Calibri" w:hAnsi="Times New Roman"/>
                <w:b/>
                <w:bCs/>
                <w:sz w:val="22"/>
                <w:szCs w:val="22"/>
              </w:rPr>
              <w:t>2019</w:t>
            </w:r>
          </w:p>
        </w:tc>
      </w:tr>
      <w:tr w:rsidR="005B54AE" w:rsidTr="00B57BB9">
        <w:trPr>
          <w:trHeight w:val="251"/>
        </w:trPr>
        <w:tc>
          <w:tcPr>
            <w:tcW w:w="3060" w:type="dxa"/>
            <w:tcBorders>
              <w:top w:val="single" w:sz="4" w:space="0" w:color="auto"/>
              <w:right w:val="single" w:sz="4" w:space="0" w:color="auto"/>
            </w:tcBorders>
            <w:shd w:val="clear" w:color="auto" w:fill="auto"/>
          </w:tcPr>
          <w:p w:rsidR="005B54AE" w:rsidRPr="00344B01" w:rsidRDefault="00A44007" w:rsidP="005B54AE">
            <w:pPr>
              <w:widowControl w:val="0"/>
              <w:spacing w:after="0"/>
              <w:contextualSpacing/>
              <w:rPr>
                <w:rFonts w:ascii="Times New Roman" w:eastAsia="Calibri" w:hAnsi="Times New Roman"/>
                <w:sz w:val="22"/>
                <w:szCs w:val="22"/>
              </w:rPr>
            </w:pPr>
            <w:r>
              <w:rPr>
                <w:rFonts w:ascii="Times New Roman" w:eastAsia="Calibri" w:hAnsi="Times New Roman"/>
                <w:sz w:val="22"/>
                <w:szCs w:val="22"/>
              </w:rPr>
              <w:t xml:space="preserve">New Year’s  </w:t>
            </w:r>
            <w:r w:rsidR="00B57BB9">
              <w:rPr>
                <w:rFonts w:ascii="Times New Roman" w:eastAsia="Calibri" w:hAnsi="Times New Roman"/>
                <w:sz w:val="22"/>
                <w:szCs w:val="22"/>
              </w:rPr>
              <w:t>Day</w:t>
            </w:r>
            <w:r w:rsidR="005B54AE" w:rsidRPr="00344B01">
              <w:rPr>
                <w:rFonts w:ascii="Times New Roman" w:eastAsia="Calibri" w:hAnsi="Times New Roman"/>
                <w:sz w:val="22"/>
                <w:szCs w:val="22"/>
              </w:rPr>
              <w:t>   </w:t>
            </w:r>
          </w:p>
        </w:tc>
        <w:tc>
          <w:tcPr>
            <w:tcW w:w="1800" w:type="dxa"/>
            <w:tcBorders>
              <w:top w:val="single" w:sz="4" w:space="0" w:color="auto"/>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January 1</w:t>
            </w:r>
            <w:r>
              <w:rPr>
                <w:rFonts w:ascii="Times New Roman" w:eastAsia="Calibri" w:hAnsi="Times New Roman"/>
                <w:bCs/>
                <w:sz w:val="22"/>
                <w:szCs w:val="22"/>
              </w:rPr>
              <w:t>**</w:t>
            </w:r>
          </w:p>
        </w:tc>
        <w:tc>
          <w:tcPr>
            <w:tcW w:w="2430" w:type="dxa"/>
            <w:tcBorders>
              <w:top w:val="single" w:sz="4" w:space="0" w:color="auto"/>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January 1</w:t>
            </w:r>
          </w:p>
        </w:tc>
        <w:tc>
          <w:tcPr>
            <w:tcW w:w="1800" w:type="dxa"/>
            <w:tcBorders>
              <w:top w:val="single" w:sz="4" w:space="0" w:color="auto"/>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January 1</w:t>
            </w:r>
          </w:p>
        </w:tc>
      </w:tr>
      <w:tr w:rsidR="005B54AE" w:rsidRPr="00307E8C" w:rsidTr="00B57BB9">
        <w:trPr>
          <w:trHeight w:val="279"/>
        </w:trPr>
        <w:tc>
          <w:tcPr>
            <w:tcW w:w="3060" w:type="dxa"/>
            <w:tcBorders>
              <w:right w:val="single" w:sz="4" w:space="0" w:color="auto"/>
            </w:tcBorders>
            <w:shd w:val="clear" w:color="auto" w:fill="auto"/>
          </w:tcPr>
          <w:p w:rsidR="005B54AE" w:rsidRPr="00344B01" w:rsidRDefault="005B54AE" w:rsidP="005B54AE">
            <w:pPr>
              <w:widowControl w:val="0"/>
              <w:spacing w:after="0"/>
              <w:contextualSpacing/>
              <w:jc w:val="both"/>
              <w:rPr>
                <w:rFonts w:ascii="Times New Roman" w:eastAsia="Calibri" w:hAnsi="Times New Roman"/>
                <w:bCs/>
                <w:sz w:val="22"/>
                <w:szCs w:val="22"/>
              </w:rPr>
            </w:pPr>
            <w:r w:rsidRPr="00344B01">
              <w:rPr>
                <w:rFonts w:ascii="Times New Roman" w:eastAsia="Calibri" w:hAnsi="Times New Roman"/>
                <w:bCs/>
                <w:sz w:val="22"/>
                <w:szCs w:val="22"/>
              </w:rPr>
              <w:t>Martin Luther King, Jr. Birthday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Ja</w:t>
            </w:r>
            <w:r>
              <w:rPr>
                <w:rFonts w:ascii="Times New Roman" w:eastAsia="Calibri" w:hAnsi="Times New Roman"/>
                <w:bCs/>
                <w:sz w:val="22"/>
                <w:szCs w:val="22"/>
              </w:rPr>
              <w:t>nuary 16</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January 15</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Ja</w:t>
            </w:r>
            <w:r>
              <w:rPr>
                <w:rFonts w:ascii="Times New Roman" w:eastAsia="Calibri" w:hAnsi="Times New Roman"/>
                <w:bCs/>
                <w:sz w:val="22"/>
                <w:szCs w:val="22"/>
              </w:rPr>
              <w:t>nuary 21</w:t>
            </w:r>
          </w:p>
        </w:tc>
      </w:tr>
      <w:tr w:rsidR="005B54AE" w:rsidRPr="00307E8C" w:rsidTr="00B57BB9">
        <w:trPr>
          <w:trHeight w:val="261"/>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Presidents’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February 20</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February 19</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February 18</w:t>
            </w:r>
          </w:p>
        </w:tc>
      </w:tr>
      <w:tr w:rsidR="005B54AE" w:rsidRPr="00307E8C" w:rsidTr="00B57BB9">
        <w:trPr>
          <w:trHeight w:val="243"/>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Patriots’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April 17</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April 16</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April 15</w:t>
            </w:r>
          </w:p>
        </w:tc>
      </w:tr>
      <w:tr w:rsidR="005B54AE" w:rsidRPr="00307E8C" w:rsidTr="00B57BB9">
        <w:trPr>
          <w:trHeight w:val="279"/>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Memorial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May 29</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May 28</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May 27</w:t>
            </w:r>
          </w:p>
        </w:tc>
      </w:tr>
      <w:tr w:rsidR="005B54AE" w:rsidRPr="00307E8C" w:rsidTr="00B57BB9">
        <w:trPr>
          <w:trHeight w:val="279"/>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Independence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July 4</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July 4</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July 4</w:t>
            </w:r>
          </w:p>
        </w:tc>
      </w:tr>
      <w:tr w:rsidR="005B54AE" w:rsidRPr="00307E8C" w:rsidTr="00B57BB9">
        <w:trPr>
          <w:trHeight w:val="279"/>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Labor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September 4</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September 3</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September 2</w:t>
            </w:r>
          </w:p>
        </w:tc>
      </w:tr>
      <w:tr w:rsidR="005B54AE" w:rsidRPr="00307E8C" w:rsidTr="00B57BB9">
        <w:trPr>
          <w:trHeight w:val="261"/>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Columbus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October 9</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October 8</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October 14</w:t>
            </w:r>
          </w:p>
        </w:tc>
      </w:tr>
      <w:tr w:rsidR="005B54AE" w:rsidRPr="00307E8C" w:rsidTr="00B57BB9">
        <w:trPr>
          <w:trHeight w:val="531"/>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Veterans’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November 11*</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November 11**</w:t>
            </w:r>
            <w:r w:rsidR="00A44007">
              <w:rPr>
                <w:rFonts w:ascii="Times New Roman" w:eastAsia="Calibri" w:hAnsi="Times New Roman"/>
                <w:bCs/>
                <w:sz w:val="22"/>
                <w:szCs w:val="22"/>
              </w:rPr>
              <w:br/>
              <w:t>(observed November 12)</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November 11</w:t>
            </w:r>
          </w:p>
        </w:tc>
      </w:tr>
      <w:tr w:rsidR="005B54AE" w:rsidRPr="00307E8C" w:rsidTr="00B57BB9">
        <w:trPr>
          <w:trHeight w:val="243"/>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Thanksgiving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November 23</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November 22</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November 28</w:t>
            </w:r>
          </w:p>
        </w:tc>
      </w:tr>
      <w:tr w:rsidR="005B54AE" w:rsidRPr="00307E8C" w:rsidTr="00B57BB9">
        <w:trPr>
          <w:trHeight w:val="234"/>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Christmas Day</w:t>
            </w:r>
          </w:p>
        </w:tc>
        <w:tc>
          <w:tcPr>
            <w:tcW w:w="1800" w:type="dxa"/>
            <w:tcBorders>
              <w:left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December 25</w:t>
            </w:r>
          </w:p>
        </w:tc>
        <w:tc>
          <w:tcPr>
            <w:tcW w:w="2430" w:type="dxa"/>
            <w:tcBorders>
              <w:left w:val="single" w:sz="4" w:space="0" w:color="auto"/>
              <w:right w:val="single" w:sz="4" w:space="0" w:color="auto"/>
            </w:tcBorders>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December 25</w:t>
            </w:r>
          </w:p>
        </w:tc>
        <w:tc>
          <w:tcPr>
            <w:tcW w:w="1800" w:type="dxa"/>
            <w:tcBorders>
              <w:lef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sidRPr="00344B01">
              <w:rPr>
                <w:rFonts w:ascii="Times New Roman" w:eastAsia="Calibri" w:hAnsi="Times New Roman"/>
                <w:bCs/>
                <w:sz w:val="22"/>
                <w:szCs w:val="22"/>
              </w:rPr>
              <w:t>December 25</w:t>
            </w:r>
          </w:p>
        </w:tc>
      </w:tr>
      <w:tr w:rsidR="005B54AE" w:rsidRPr="00307E8C" w:rsidTr="00B57BB9">
        <w:trPr>
          <w:trHeight w:val="179"/>
        </w:trPr>
        <w:tc>
          <w:tcPr>
            <w:tcW w:w="3060" w:type="dxa"/>
            <w:tcBorders>
              <w:right w:val="single" w:sz="4" w:space="0" w:color="auto"/>
            </w:tcBorders>
            <w:shd w:val="clear" w:color="auto" w:fill="auto"/>
          </w:tcPr>
          <w:p w:rsidR="005B54AE" w:rsidRPr="00344B01" w:rsidRDefault="005B54AE" w:rsidP="005B54AE">
            <w:pPr>
              <w:widowControl w:val="0"/>
              <w:spacing w:after="0"/>
              <w:contextualSpacing/>
              <w:rPr>
                <w:rFonts w:ascii="Times New Roman" w:eastAsia="Calibri" w:hAnsi="Times New Roman"/>
                <w:bCs/>
                <w:sz w:val="22"/>
                <w:szCs w:val="22"/>
              </w:rPr>
            </w:pPr>
            <w:r w:rsidRPr="00344B01">
              <w:rPr>
                <w:rFonts w:ascii="Times New Roman" w:eastAsia="Calibri" w:hAnsi="Times New Roman"/>
                <w:bCs/>
                <w:sz w:val="22"/>
                <w:szCs w:val="22"/>
              </w:rPr>
              <w:t>Campus Closure**</w:t>
            </w:r>
            <w:r>
              <w:rPr>
                <w:rFonts w:ascii="Times New Roman" w:eastAsia="Calibri" w:hAnsi="Times New Roman"/>
                <w:bCs/>
                <w:sz w:val="22"/>
                <w:szCs w:val="22"/>
              </w:rPr>
              <w:t>*</w:t>
            </w:r>
          </w:p>
        </w:tc>
        <w:tc>
          <w:tcPr>
            <w:tcW w:w="1800" w:type="dxa"/>
            <w:tcBorders>
              <w:left w:val="single" w:sz="4" w:space="0" w:color="auto"/>
              <w:bottom w:val="single" w:sz="4" w:space="0" w:color="auto"/>
              <w:right w:val="single" w:sz="4" w:space="0" w:color="auto"/>
            </w:tcBorders>
            <w:shd w:val="clear" w:color="auto" w:fill="auto"/>
          </w:tcPr>
          <w:p w:rsidR="005B54AE" w:rsidRPr="00344B01" w:rsidRDefault="005B54AE" w:rsidP="005B54AE">
            <w:pPr>
              <w:widowControl w:val="0"/>
              <w:spacing w:after="0"/>
              <w:contextualSpacing/>
              <w:jc w:val="right"/>
              <w:rPr>
                <w:rFonts w:ascii="Times New Roman" w:eastAsia="Calibri" w:hAnsi="Times New Roman"/>
                <w:bCs/>
                <w:sz w:val="22"/>
                <w:szCs w:val="22"/>
              </w:rPr>
            </w:pPr>
            <w:r>
              <w:rPr>
                <w:rFonts w:ascii="Times New Roman" w:eastAsia="Calibri" w:hAnsi="Times New Roman"/>
                <w:bCs/>
                <w:sz w:val="22"/>
                <w:szCs w:val="22"/>
              </w:rPr>
              <w:t>December 28, 29</w:t>
            </w:r>
          </w:p>
        </w:tc>
        <w:tc>
          <w:tcPr>
            <w:tcW w:w="2430" w:type="dxa"/>
            <w:tcBorders>
              <w:left w:val="single" w:sz="4" w:space="0" w:color="auto"/>
              <w:bottom w:val="single" w:sz="4" w:space="0" w:color="auto"/>
              <w:right w:val="single" w:sz="4" w:space="0" w:color="auto"/>
            </w:tcBorders>
          </w:tcPr>
          <w:p w:rsidR="005B54AE" w:rsidRPr="003D37B9" w:rsidRDefault="005B54AE" w:rsidP="005B54AE">
            <w:pPr>
              <w:widowControl w:val="0"/>
              <w:spacing w:after="0"/>
              <w:contextualSpacing/>
              <w:jc w:val="right"/>
              <w:rPr>
                <w:rFonts w:ascii="Times New Roman" w:eastAsia="Calibri" w:hAnsi="Times New Roman"/>
                <w:bCs/>
                <w:sz w:val="22"/>
                <w:szCs w:val="22"/>
              </w:rPr>
            </w:pPr>
            <w:r w:rsidRPr="003D37B9">
              <w:rPr>
                <w:rFonts w:ascii="Times New Roman" w:eastAsia="Calibri" w:hAnsi="Times New Roman"/>
                <w:bCs/>
                <w:sz w:val="22"/>
                <w:szCs w:val="22"/>
              </w:rPr>
              <w:t>December 28, 31</w:t>
            </w:r>
          </w:p>
        </w:tc>
        <w:tc>
          <w:tcPr>
            <w:tcW w:w="1800" w:type="dxa"/>
            <w:tcBorders>
              <w:left w:val="single" w:sz="4" w:space="0" w:color="auto"/>
              <w:bottom w:val="single" w:sz="4" w:space="0" w:color="auto"/>
            </w:tcBorders>
            <w:shd w:val="clear" w:color="auto" w:fill="auto"/>
          </w:tcPr>
          <w:p w:rsidR="005B54AE" w:rsidRPr="003D37B9" w:rsidRDefault="005B54AE" w:rsidP="005B54AE">
            <w:pPr>
              <w:widowControl w:val="0"/>
              <w:spacing w:after="0"/>
              <w:contextualSpacing/>
              <w:jc w:val="right"/>
              <w:rPr>
                <w:rFonts w:ascii="Times New Roman" w:eastAsia="Calibri" w:hAnsi="Times New Roman"/>
                <w:bCs/>
                <w:sz w:val="22"/>
                <w:szCs w:val="22"/>
              </w:rPr>
            </w:pPr>
            <w:r w:rsidRPr="003D37B9">
              <w:rPr>
                <w:rFonts w:ascii="Times New Roman" w:eastAsia="Calibri" w:hAnsi="Times New Roman"/>
                <w:bCs/>
                <w:sz w:val="22"/>
                <w:szCs w:val="22"/>
              </w:rPr>
              <w:t>December 30, 31</w:t>
            </w:r>
          </w:p>
        </w:tc>
      </w:tr>
    </w:tbl>
    <w:p w:rsidR="005B54AE" w:rsidRDefault="005B54AE" w:rsidP="005B54AE">
      <w:pPr>
        <w:spacing w:after="0"/>
        <w:contextualSpacing/>
        <w:rPr>
          <w:rFonts w:ascii="Times New Roman" w:hAnsi="Times New Roman"/>
        </w:rPr>
      </w:pPr>
    </w:p>
    <w:p w:rsidR="00E81AE5" w:rsidRDefault="00E81AE5" w:rsidP="00E81AE5">
      <w:pPr>
        <w:pStyle w:val="Closing"/>
        <w:spacing w:line="240" w:lineRule="auto"/>
        <w:ind w:left="0"/>
        <w:rPr>
          <w:sz w:val="22"/>
          <w:szCs w:val="22"/>
        </w:rPr>
      </w:pPr>
    </w:p>
    <w:p w:rsidR="00E81AE5" w:rsidRDefault="00E81AE5" w:rsidP="00E81AE5">
      <w:pPr>
        <w:pStyle w:val="Closing"/>
        <w:spacing w:line="240" w:lineRule="auto"/>
        <w:ind w:left="0"/>
        <w:rPr>
          <w:b/>
          <w:bCs/>
          <w:sz w:val="22"/>
          <w:szCs w:val="22"/>
          <w:u w:val="single"/>
        </w:rPr>
      </w:pPr>
      <w:r>
        <w:rPr>
          <w:b/>
          <w:bCs/>
          <w:sz w:val="22"/>
          <w:szCs w:val="22"/>
        </w:rPr>
        <w:t>*</w:t>
      </w:r>
      <w:r>
        <w:rPr>
          <w:b/>
          <w:bCs/>
          <w:sz w:val="22"/>
          <w:szCs w:val="22"/>
          <w:u w:val="single"/>
        </w:rPr>
        <w:t>Saturday Holidays</w:t>
      </w:r>
    </w:p>
    <w:p w:rsidR="00E81AE5" w:rsidRDefault="00E81AE5" w:rsidP="00E81AE5">
      <w:pPr>
        <w:pStyle w:val="Closing"/>
        <w:spacing w:line="240" w:lineRule="auto"/>
        <w:ind w:left="0"/>
        <w:rPr>
          <w:sz w:val="22"/>
          <w:szCs w:val="22"/>
        </w:rPr>
      </w:pPr>
      <w:r>
        <w:rPr>
          <w:sz w:val="22"/>
          <w:szCs w:val="22"/>
        </w:rPr>
        <w:t xml:space="preserve">Under the provisions of Massachusetts General Laws, Chapter 4, Section 7, Clause Eighteen, legal holidays that fall on a Saturday shall be observed on that day.  All offices under the jurisdiction of any department of state government shall be open to the public for business on the Friday proceeding any Saturday holiday.  However, as many employees as business needs will allow should be given that Friday off, with the following Monday as an alternative  Employees assigned to work shall be compensated as the law and applicable collective bargaining agreements </w:t>
      </w:r>
      <w:r w:rsidR="00A44007">
        <w:rPr>
          <w:sz w:val="22"/>
          <w:szCs w:val="22"/>
        </w:rPr>
        <w:t>required</w:t>
      </w:r>
      <w:r>
        <w:rPr>
          <w:sz w:val="22"/>
          <w:szCs w:val="22"/>
        </w:rPr>
        <w:t xml:space="preserve">. </w:t>
      </w:r>
    </w:p>
    <w:p w:rsidR="00E81AE5" w:rsidRDefault="00E81AE5" w:rsidP="00E81AE5">
      <w:pPr>
        <w:pStyle w:val="Closing"/>
        <w:spacing w:line="240" w:lineRule="auto"/>
        <w:ind w:left="0"/>
        <w:rPr>
          <w:sz w:val="22"/>
          <w:szCs w:val="22"/>
        </w:rPr>
      </w:pPr>
    </w:p>
    <w:p w:rsidR="00E81AE5" w:rsidRPr="00BC77D5" w:rsidRDefault="00E81AE5" w:rsidP="00E81AE5">
      <w:pPr>
        <w:pStyle w:val="Closing"/>
        <w:spacing w:line="240" w:lineRule="auto"/>
        <w:ind w:left="0"/>
        <w:rPr>
          <w:b/>
          <w:sz w:val="22"/>
          <w:szCs w:val="22"/>
          <w:u w:val="single"/>
        </w:rPr>
      </w:pPr>
      <w:r w:rsidRPr="00F11CA0">
        <w:rPr>
          <w:b/>
          <w:sz w:val="22"/>
          <w:szCs w:val="22"/>
        </w:rPr>
        <w:t>**</w:t>
      </w:r>
      <w:r w:rsidRPr="00BC77D5">
        <w:rPr>
          <w:b/>
          <w:sz w:val="22"/>
          <w:szCs w:val="22"/>
          <w:u w:val="single"/>
        </w:rPr>
        <w:t>Sunday Holidays</w:t>
      </w:r>
    </w:p>
    <w:p w:rsidR="00E81AE5" w:rsidRDefault="00E81AE5" w:rsidP="00E81AE5">
      <w:pPr>
        <w:pStyle w:val="Closing"/>
        <w:spacing w:line="240" w:lineRule="auto"/>
        <w:ind w:left="0"/>
        <w:rPr>
          <w:sz w:val="22"/>
          <w:szCs w:val="22"/>
        </w:rPr>
      </w:pPr>
      <w:r w:rsidRPr="00BC77D5">
        <w:rPr>
          <w:sz w:val="22"/>
          <w:szCs w:val="22"/>
        </w:rPr>
        <w:t>A legal holiday shall be observed the day following when said holiday shall occur on Sunday (Chapter 4, Section 7, Clause Eighteen).</w:t>
      </w:r>
    </w:p>
    <w:p w:rsidR="00E81AE5" w:rsidRDefault="00E81AE5" w:rsidP="00E81AE5"/>
    <w:p w:rsidR="00E81AE5" w:rsidRPr="007919E1" w:rsidRDefault="00E81AE5" w:rsidP="00E81AE5">
      <w:pPr>
        <w:pStyle w:val="Closing"/>
        <w:spacing w:line="240" w:lineRule="auto"/>
        <w:ind w:left="0"/>
        <w:rPr>
          <w:b/>
          <w:sz w:val="22"/>
          <w:szCs w:val="22"/>
          <w:u w:val="single"/>
        </w:rPr>
      </w:pPr>
      <w:r w:rsidRPr="007919E1">
        <w:rPr>
          <w:b/>
          <w:sz w:val="22"/>
          <w:szCs w:val="22"/>
        </w:rPr>
        <w:t>**</w:t>
      </w:r>
      <w:r>
        <w:rPr>
          <w:b/>
          <w:sz w:val="22"/>
          <w:szCs w:val="22"/>
        </w:rPr>
        <w:t>*</w:t>
      </w:r>
      <w:r w:rsidR="00B57BB9">
        <w:rPr>
          <w:b/>
          <w:sz w:val="22"/>
          <w:szCs w:val="22"/>
          <w:u w:val="single"/>
        </w:rPr>
        <w:t>Campus Closure</w:t>
      </w:r>
    </w:p>
    <w:p w:rsidR="00E81AE5" w:rsidRDefault="00E81AE5" w:rsidP="00E81AE5">
      <w:pPr>
        <w:pStyle w:val="Closing"/>
        <w:spacing w:line="240" w:lineRule="auto"/>
        <w:ind w:left="0"/>
        <w:rPr>
          <w:sz w:val="22"/>
          <w:szCs w:val="22"/>
        </w:rPr>
      </w:pPr>
      <w:r>
        <w:rPr>
          <w:sz w:val="22"/>
          <w:szCs w:val="22"/>
        </w:rPr>
        <w:t xml:space="preserve">In lieu of two previous holiday closures, the campus will be closed (except for designated essential staff) on the two work (business) days prior to the New Year’s Day holiday.   Designated essential staff assigned to work on campus closure days shall be compensated in accordance with the applicable collective bargaining agreement. </w:t>
      </w:r>
    </w:p>
    <w:p w:rsidR="00E81AE5" w:rsidRDefault="00E81AE5" w:rsidP="00E81AE5"/>
    <w:p w:rsidR="00E81AE5" w:rsidRDefault="00E81AE5" w:rsidP="00E81AE5"/>
    <w:sectPr w:rsidR="00E81AE5" w:rsidSect="005B54AE">
      <w:headerReference w:type="first" r:id="rId6"/>
      <w:pgSz w:w="12240" w:h="15840"/>
      <w:pgMar w:top="216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66" w:rsidRDefault="00985766">
      <w:pPr>
        <w:spacing w:after="0"/>
      </w:pPr>
      <w:r>
        <w:separator/>
      </w:r>
    </w:p>
  </w:endnote>
  <w:endnote w:type="continuationSeparator" w:id="0">
    <w:p w:rsidR="00985766" w:rsidRDefault="0098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66" w:rsidRDefault="00985766">
      <w:pPr>
        <w:spacing w:after="0"/>
      </w:pPr>
      <w:r>
        <w:separator/>
      </w:r>
    </w:p>
  </w:footnote>
  <w:footnote w:type="continuationSeparator" w:id="0">
    <w:p w:rsidR="00985766" w:rsidRDefault="009857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1F" w:rsidRDefault="00A87DA3">
    <w:pPr>
      <w:pStyle w:val="Heade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0</wp:posOffset>
          </wp:positionV>
          <wp:extent cx="6181090" cy="810895"/>
          <wp:effectExtent l="0" t="0" r="0" b="8255"/>
          <wp:wrapNone/>
          <wp:docPr id="1" name="Picture 1" descr="Description: human resources LH 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man resources LH 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8108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E5"/>
    <w:rsid w:val="00100D3E"/>
    <w:rsid w:val="001212E5"/>
    <w:rsid w:val="0015438B"/>
    <w:rsid w:val="00384AC6"/>
    <w:rsid w:val="00492EE0"/>
    <w:rsid w:val="005B54AE"/>
    <w:rsid w:val="00661EBF"/>
    <w:rsid w:val="007A6600"/>
    <w:rsid w:val="0085569A"/>
    <w:rsid w:val="008B5703"/>
    <w:rsid w:val="00936249"/>
    <w:rsid w:val="00945535"/>
    <w:rsid w:val="00985766"/>
    <w:rsid w:val="00A44007"/>
    <w:rsid w:val="00A87DA3"/>
    <w:rsid w:val="00B57BB9"/>
    <w:rsid w:val="00C53C12"/>
    <w:rsid w:val="00CA1DE1"/>
    <w:rsid w:val="00D13C53"/>
    <w:rsid w:val="00E6359C"/>
    <w:rsid w:val="00E81AE5"/>
    <w:rsid w:val="00EB21FD"/>
    <w:rsid w:val="00EF6E1F"/>
    <w:rsid w:val="00F07C29"/>
    <w:rsid w:val="00FB68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470773-F232-42B2-92A5-510AA753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D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6E1F"/>
    <w:pPr>
      <w:tabs>
        <w:tab w:val="center" w:pos="4320"/>
        <w:tab w:val="right" w:pos="8640"/>
      </w:tabs>
      <w:spacing w:after="0"/>
    </w:pPr>
  </w:style>
  <w:style w:type="character" w:customStyle="1" w:styleId="HeaderChar">
    <w:name w:val="Header Char"/>
    <w:link w:val="Header"/>
    <w:uiPriority w:val="99"/>
    <w:semiHidden/>
    <w:rsid w:val="00EF6E1F"/>
    <w:rPr>
      <w:sz w:val="24"/>
      <w:szCs w:val="24"/>
    </w:rPr>
  </w:style>
  <w:style w:type="paragraph" w:styleId="Footer">
    <w:name w:val="footer"/>
    <w:basedOn w:val="Normal"/>
    <w:link w:val="FooterChar"/>
    <w:uiPriority w:val="99"/>
    <w:semiHidden/>
    <w:unhideWhenUsed/>
    <w:rsid w:val="00EF6E1F"/>
    <w:pPr>
      <w:tabs>
        <w:tab w:val="center" w:pos="4320"/>
        <w:tab w:val="right" w:pos="8640"/>
      </w:tabs>
      <w:spacing w:after="0"/>
    </w:pPr>
  </w:style>
  <w:style w:type="character" w:customStyle="1" w:styleId="FooterChar">
    <w:name w:val="Footer Char"/>
    <w:link w:val="Footer"/>
    <w:uiPriority w:val="99"/>
    <w:semiHidden/>
    <w:rsid w:val="00EF6E1F"/>
    <w:rPr>
      <w:sz w:val="24"/>
      <w:szCs w:val="24"/>
    </w:rPr>
  </w:style>
  <w:style w:type="paragraph" w:styleId="Closing">
    <w:name w:val="Closing"/>
    <w:basedOn w:val="Normal"/>
    <w:link w:val="ClosingChar"/>
    <w:rsid w:val="00E81AE5"/>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rsid w:val="00E81AE5"/>
    <w:rPr>
      <w:rFonts w:ascii="Times New Roman" w:eastAsia="Times New Roman" w:hAnsi="Times New Roman"/>
    </w:rPr>
  </w:style>
  <w:style w:type="table" w:styleId="TableGrid">
    <w:name w:val="Table Grid"/>
    <w:basedOn w:val="TableNormal"/>
    <w:uiPriority w:val="59"/>
    <w:rsid w:val="00E8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C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batherwich\Desktop\Heather%20Desktop\My%20Documents\Human%20Resour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 Resources Letterhead.dot</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Batherwich</dc:creator>
  <cp:lastModifiedBy>Heather Batherwich</cp:lastModifiedBy>
  <cp:revision>8</cp:revision>
  <cp:lastPrinted>2017-10-19T19:21:00Z</cp:lastPrinted>
  <dcterms:created xsi:type="dcterms:W3CDTF">2017-10-18T20:04:00Z</dcterms:created>
  <dcterms:modified xsi:type="dcterms:W3CDTF">2017-10-19T19:28:00Z</dcterms:modified>
</cp:coreProperties>
</file>