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5349D" w14:textId="2E455AA4" w:rsidR="00485E16" w:rsidRPr="0001455C" w:rsidRDefault="00485E16" w:rsidP="00485E16">
      <w:pPr>
        <w:spacing w:line="240" w:lineRule="auto"/>
        <w:contextualSpacing/>
        <w:jc w:val="center"/>
        <w:rPr>
          <w:rFonts w:ascii="Cambria" w:hAnsi="Cambria"/>
          <w:b/>
          <w:bCs/>
        </w:rPr>
      </w:pPr>
      <w:r>
        <w:rPr>
          <w:rFonts w:ascii="Cambria" w:hAnsi="Cambria"/>
          <w:b/>
          <w:bCs/>
        </w:rPr>
        <w:t>NEPBA Local 290 (Patrol/Dispatchers)</w:t>
      </w:r>
      <w:r w:rsidRPr="0001455C">
        <w:rPr>
          <w:rFonts w:ascii="Cambria" w:hAnsi="Cambria"/>
          <w:b/>
          <w:bCs/>
        </w:rPr>
        <w:t xml:space="preserve"> Bargaining Agreement</w:t>
      </w:r>
    </w:p>
    <w:p w14:paraId="6EA02E8B" w14:textId="77777777" w:rsidR="00485E16" w:rsidRPr="0001455C" w:rsidRDefault="00485E16" w:rsidP="00485E16">
      <w:pPr>
        <w:spacing w:line="240" w:lineRule="auto"/>
        <w:contextualSpacing/>
        <w:jc w:val="center"/>
        <w:rPr>
          <w:rFonts w:ascii="Cambria" w:hAnsi="Cambria"/>
          <w:b/>
          <w:bCs/>
        </w:rPr>
      </w:pPr>
      <w:r w:rsidRPr="0001455C">
        <w:rPr>
          <w:rFonts w:ascii="Cambria" w:hAnsi="Cambria"/>
          <w:b/>
          <w:bCs/>
        </w:rPr>
        <w:t>Summary of Changes</w:t>
      </w:r>
    </w:p>
    <w:p w14:paraId="12267D97" w14:textId="77777777" w:rsidR="00485E16" w:rsidRDefault="00485E16" w:rsidP="00485E16">
      <w:pPr>
        <w:spacing w:line="240" w:lineRule="auto"/>
        <w:contextualSpacing/>
        <w:jc w:val="center"/>
        <w:rPr>
          <w:rFonts w:ascii="Cambria" w:hAnsi="Cambria"/>
          <w:b/>
          <w:bCs/>
        </w:rPr>
      </w:pPr>
      <w:r w:rsidRPr="0001455C">
        <w:rPr>
          <w:rFonts w:ascii="Cambria" w:hAnsi="Cambria"/>
          <w:b/>
          <w:bCs/>
        </w:rPr>
        <w:t>July 1, 2024 – June 30, 2027</w:t>
      </w:r>
    </w:p>
    <w:p w14:paraId="69ACBD54" w14:textId="77777777" w:rsidR="00485E16" w:rsidRDefault="00485E16" w:rsidP="00485E16">
      <w:pPr>
        <w:spacing w:line="240" w:lineRule="auto"/>
        <w:contextualSpacing/>
        <w:jc w:val="center"/>
        <w:rPr>
          <w:rFonts w:ascii="Cambria" w:hAnsi="Cambria"/>
          <w:b/>
          <w:bCs/>
        </w:rPr>
      </w:pPr>
    </w:p>
    <w:p w14:paraId="22E8378E" w14:textId="77777777" w:rsidR="00485E16" w:rsidRPr="001C0608" w:rsidRDefault="00485E16" w:rsidP="00485E16">
      <w:pPr>
        <w:spacing w:line="240" w:lineRule="auto"/>
        <w:contextualSpacing/>
        <w:rPr>
          <w:rFonts w:ascii="Cambria" w:hAnsi="Cambria"/>
          <w:b/>
          <w:bCs/>
          <w:color w:val="005A8B"/>
          <w:sz w:val="28"/>
          <w:szCs w:val="28"/>
        </w:rPr>
      </w:pPr>
      <w:r w:rsidRPr="001C0608">
        <w:rPr>
          <w:rFonts w:ascii="Cambria" w:hAnsi="Cambria"/>
          <w:b/>
          <w:bCs/>
          <w:color w:val="005A8B"/>
          <w:sz w:val="28"/>
          <w:szCs w:val="28"/>
        </w:rPr>
        <w:t>Overview</w:t>
      </w:r>
    </w:p>
    <w:p w14:paraId="41A7F59D" w14:textId="77777777" w:rsidR="00485E16" w:rsidRDefault="00485E16" w:rsidP="00485E16">
      <w:pPr>
        <w:spacing w:line="240" w:lineRule="auto"/>
        <w:contextualSpacing/>
        <w:rPr>
          <w:rFonts w:ascii="Cambria" w:hAnsi="Cambria"/>
        </w:rPr>
      </w:pPr>
    </w:p>
    <w:p w14:paraId="63865642" w14:textId="76D4A9AE" w:rsidR="00485E16" w:rsidRDefault="00485E16" w:rsidP="00485E16">
      <w:pPr>
        <w:spacing w:line="240" w:lineRule="auto"/>
        <w:contextualSpacing/>
        <w:rPr>
          <w:rFonts w:ascii="Cambria" w:hAnsi="Cambria"/>
        </w:rPr>
      </w:pPr>
      <w:r w:rsidRPr="0001455C">
        <w:rPr>
          <w:rFonts w:ascii="Cambria" w:hAnsi="Cambria"/>
        </w:rPr>
        <w:t xml:space="preserve">The University reached agreement with </w:t>
      </w:r>
      <w:proofErr w:type="gramStart"/>
      <w:r w:rsidRPr="0001455C">
        <w:rPr>
          <w:rFonts w:ascii="Cambria" w:hAnsi="Cambria"/>
        </w:rPr>
        <w:t xml:space="preserve">the </w:t>
      </w:r>
      <w:r>
        <w:rPr>
          <w:rFonts w:ascii="Cambria" w:hAnsi="Cambria"/>
        </w:rPr>
        <w:t>NEPBA</w:t>
      </w:r>
      <w:proofErr w:type="gramEnd"/>
      <w:r>
        <w:rPr>
          <w:rFonts w:ascii="Cambria" w:hAnsi="Cambria"/>
        </w:rPr>
        <w:t xml:space="preserve"> Local 290</w:t>
      </w:r>
      <w:r w:rsidRPr="0001455C">
        <w:rPr>
          <w:rFonts w:ascii="Cambria" w:hAnsi="Cambria"/>
        </w:rPr>
        <w:t xml:space="preserve"> on </w:t>
      </w:r>
      <w:r>
        <w:rPr>
          <w:rFonts w:ascii="Cambria" w:hAnsi="Cambria"/>
        </w:rPr>
        <w:t xml:space="preserve">a </w:t>
      </w:r>
      <w:r w:rsidRPr="0001455C">
        <w:rPr>
          <w:rFonts w:ascii="Cambria" w:hAnsi="Cambria"/>
        </w:rPr>
        <w:t>successor collective bargaining agreement</w:t>
      </w:r>
      <w:r>
        <w:rPr>
          <w:rFonts w:ascii="Cambria" w:hAnsi="Cambria"/>
        </w:rPr>
        <w:t xml:space="preserve"> on September 19, 2024. Below is a summary of the key changes reflected in the Agreement. </w:t>
      </w:r>
    </w:p>
    <w:p w14:paraId="25DE98E2" w14:textId="77777777" w:rsidR="00485E16" w:rsidRDefault="00485E16" w:rsidP="00485E16">
      <w:pPr>
        <w:spacing w:line="240" w:lineRule="auto"/>
        <w:contextualSpacing/>
        <w:rPr>
          <w:rFonts w:ascii="Cambria" w:hAnsi="Cambria"/>
          <w:b/>
          <w:bCs/>
          <w:color w:val="005A8B"/>
          <w:sz w:val="28"/>
          <w:szCs w:val="28"/>
        </w:rPr>
      </w:pPr>
    </w:p>
    <w:p w14:paraId="2E68A4EA" w14:textId="7F8B80F1" w:rsidR="00485E16" w:rsidRPr="001C0608" w:rsidRDefault="00485E16" w:rsidP="00485E16">
      <w:pPr>
        <w:spacing w:line="240" w:lineRule="auto"/>
        <w:contextualSpacing/>
        <w:rPr>
          <w:rFonts w:ascii="Cambria" w:hAnsi="Cambria"/>
          <w:b/>
          <w:bCs/>
          <w:color w:val="005A8B"/>
          <w:sz w:val="28"/>
          <w:szCs w:val="28"/>
        </w:rPr>
      </w:pPr>
      <w:r w:rsidRPr="001C0608">
        <w:rPr>
          <w:rFonts w:ascii="Cambria" w:hAnsi="Cambria"/>
          <w:b/>
          <w:bCs/>
          <w:color w:val="005A8B"/>
          <w:sz w:val="28"/>
          <w:szCs w:val="28"/>
        </w:rPr>
        <w:t>Economic Provisions</w:t>
      </w:r>
    </w:p>
    <w:p w14:paraId="6439C341" w14:textId="77777777" w:rsidR="00485E16" w:rsidRDefault="00485E16" w:rsidP="00485E16">
      <w:pPr>
        <w:spacing w:line="240" w:lineRule="auto"/>
        <w:contextualSpacing/>
      </w:pPr>
    </w:p>
    <w:p w14:paraId="13290AEC" w14:textId="679BEF57" w:rsidR="00485E16" w:rsidRPr="001C0608" w:rsidRDefault="00485E16" w:rsidP="00485E16">
      <w:pPr>
        <w:spacing w:line="240" w:lineRule="auto"/>
        <w:contextualSpacing/>
        <w:rPr>
          <w:rFonts w:ascii="Cambria" w:hAnsi="Cambria"/>
          <w:b/>
          <w:bCs/>
        </w:rPr>
      </w:pPr>
      <w:r w:rsidRPr="001C0608">
        <w:rPr>
          <w:rFonts w:ascii="Cambria" w:hAnsi="Cambria"/>
          <w:b/>
          <w:bCs/>
        </w:rPr>
        <w:t xml:space="preserve">Shift Differential </w:t>
      </w:r>
    </w:p>
    <w:p w14:paraId="2894C798" w14:textId="77777777" w:rsidR="00485E16" w:rsidRDefault="00485E16" w:rsidP="00485E16">
      <w:pPr>
        <w:spacing w:line="240" w:lineRule="auto"/>
        <w:contextualSpacing/>
        <w:rPr>
          <w:rFonts w:ascii="Cambria" w:hAnsi="Cambria"/>
        </w:rPr>
      </w:pPr>
      <w:r>
        <w:rPr>
          <w:rFonts w:ascii="Cambria" w:hAnsi="Cambria"/>
        </w:rPr>
        <w:t>The rates for shift differential shall increase as follows:</w:t>
      </w:r>
    </w:p>
    <w:p w14:paraId="6EB9CD1C" w14:textId="77777777" w:rsidR="00485E16" w:rsidRDefault="00485E16" w:rsidP="00485E16">
      <w:pPr>
        <w:spacing w:line="240" w:lineRule="auto"/>
        <w:contextualSpacing/>
        <w:rPr>
          <w:rFonts w:ascii="Cambria" w:hAnsi="Cambria"/>
        </w:rPr>
      </w:pPr>
    </w:p>
    <w:tbl>
      <w:tblPr>
        <w:tblStyle w:val="TableGrid"/>
        <w:tblW w:w="0" w:type="auto"/>
        <w:jc w:val="center"/>
        <w:tblLook w:val="04A0" w:firstRow="1" w:lastRow="0" w:firstColumn="1" w:lastColumn="0" w:noHBand="0" w:noVBand="1"/>
      </w:tblPr>
      <w:tblGrid>
        <w:gridCol w:w="1795"/>
        <w:gridCol w:w="1795"/>
        <w:gridCol w:w="1530"/>
      </w:tblGrid>
      <w:tr w:rsidR="00485E16" w14:paraId="02430672" w14:textId="77777777" w:rsidTr="00092BD3">
        <w:trPr>
          <w:jc w:val="center"/>
        </w:trPr>
        <w:tc>
          <w:tcPr>
            <w:tcW w:w="1795" w:type="dxa"/>
          </w:tcPr>
          <w:p w14:paraId="68FEA288" w14:textId="77777777" w:rsidR="00485E16" w:rsidRPr="003F5044" w:rsidRDefault="00485E16" w:rsidP="00F0793E">
            <w:pPr>
              <w:contextualSpacing/>
              <w:jc w:val="center"/>
              <w:rPr>
                <w:rFonts w:ascii="Cambria" w:hAnsi="Cambria"/>
                <w:b/>
                <w:bCs/>
              </w:rPr>
            </w:pPr>
            <w:r w:rsidRPr="003F5044">
              <w:rPr>
                <w:rFonts w:ascii="Cambria" w:hAnsi="Cambria"/>
                <w:b/>
                <w:bCs/>
              </w:rPr>
              <w:t>Current Rate</w:t>
            </w:r>
          </w:p>
        </w:tc>
        <w:tc>
          <w:tcPr>
            <w:tcW w:w="1795" w:type="dxa"/>
          </w:tcPr>
          <w:p w14:paraId="0BAE22E3" w14:textId="77777777" w:rsidR="00485E16" w:rsidRPr="003F5044" w:rsidRDefault="00485E16" w:rsidP="00F0793E">
            <w:pPr>
              <w:contextualSpacing/>
              <w:jc w:val="center"/>
              <w:rPr>
                <w:rFonts w:ascii="Cambria" w:hAnsi="Cambria"/>
                <w:b/>
                <w:bCs/>
              </w:rPr>
            </w:pPr>
            <w:r w:rsidRPr="003F5044">
              <w:rPr>
                <w:rFonts w:ascii="Cambria" w:hAnsi="Cambria"/>
                <w:b/>
                <w:bCs/>
              </w:rPr>
              <w:t>Shift</w:t>
            </w:r>
          </w:p>
        </w:tc>
        <w:tc>
          <w:tcPr>
            <w:tcW w:w="1530" w:type="dxa"/>
          </w:tcPr>
          <w:p w14:paraId="327D0C06" w14:textId="77777777" w:rsidR="00485E16" w:rsidRPr="003F5044" w:rsidRDefault="00485E16" w:rsidP="00F0793E">
            <w:pPr>
              <w:contextualSpacing/>
              <w:jc w:val="center"/>
              <w:rPr>
                <w:rFonts w:ascii="Cambria" w:hAnsi="Cambria"/>
                <w:b/>
                <w:bCs/>
              </w:rPr>
            </w:pPr>
            <w:r w:rsidRPr="003F5044">
              <w:rPr>
                <w:rFonts w:ascii="Cambria" w:hAnsi="Cambria"/>
                <w:b/>
                <w:bCs/>
              </w:rPr>
              <w:t>New Rate</w:t>
            </w:r>
          </w:p>
        </w:tc>
      </w:tr>
      <w:tr w:rsidR="00485E16" w14:paraId="03045FCF" w14:textId="77777777" w:rsidTr="00092BD3">
        <w:trPr>
          <w:jc w:val="center"/>
        </w:trPr>
        <w:tc>
          <w:tcPr>
            <w:tcW w:w="1795" w:type="dxa"/>
          </w:tcPr>
          <w:p w14:paraId="605AE2BC" w14:textId="77777777" w:rsidR="00485E16" w:rsidRDefault="00485E16" w:rsidP="00F0793E">
            <w:pPr>
              <w:contextualSpacing/>
              <w:jc w:val="center"/>
              <w:rPr>
                <w:rFonts w:ascii="Cambria" w:hAnsi="Cambria"/>
              </w:rPr>
            </w:pPr>
            <w:r>
              <w:rPr>
                <w:rFonts w:ascii="Cambria" w:hAnsi="Cambria"/>
              </w:rPr>
              <w:t>$0.75</w:t>
            </w:r>
          </w:p>
        </w:tc>
        <w:tc>
          <w:tcPr>
            <w:tcW w:w="1795" w:type="dxa"/>
          </w:tcPr>
          <w:p w14:paraId="19B91D4B" w14:textId="77777777" w:rsidR="00485E16" w:rsidRDefault="00485E16" w:rsidP="00F0793E">
            <w:pPr>
              <w:contextualSpacing/>
              <w:jc w:val="center"/>
              <w:rPr>
                <w:rFonts w:ascii="Cambria" w:hAnsi="Cambria"/>
              </w:rPr>
            </w:pPr>
            <w:r>
              <w:rPr>
                <w:rFonts w:ascii="Cambria" w:hAnsi="Cambria"/>
              </w:rPr>
              <w:t>Second Shift</w:t>
            </w:r>
          </w:p>
        </w:tc>
        <w:tc>
          <w:tcPr>
            <w:tcW w:w="1530" w:type="dxa"/>
          </w:tcPr>
          <w:p w14:paraId="6DA58C4D" w14:textId="77777777" w:rsidR="00485E16" w:rsidRDefault="00485E16" w:rsidP="00F0793E">
            <w:pPr>
              <w:contextualSpacing/>
              <w:jc w:val="center"/>
              <w:rPr>
                <w:rFonts w:ascii="Cambria" w:hAnsi="Cambria"/>
              </w:rPr>
            </w:pPr>
            <w:r>
              <w:rPr>
                <w:rFonts w:ascii="Cambria" w:hAnsi="Cambria"/>
              </w:rPr>
              <w:t>$1.00</w:t>
            </w:r>
          </w:p>
        </w:tc>
      </w:tr>
      <w:tr w:rsidR="00485E16" w14:paraId="46CB6AC6" w14:textId="77777777" w:rsidTr="00092BD3">
        <w:trPr>
          <w:jc w:val="center"/>
        </w:trPr>
        <w:tc>
          <w:tcPr>
            <w:tcW w:w="1795" w:type="dxa"/>
          </w:tcPr>
          <w:p w14:paraId="59DC4929" w14:textId="77777777" w:rsidR="00485E16" w:rsidRDefault="00485E16" w:rsidP="00F0793E">
            <w:pPr>
              <w:contextualSpacing/>
              <w:jc w:val="center"/>
              <w:rPr>
                <w:rFonts w:ascii="Cambria" w:hAnsi="Cambria"/>
              </w:rPr>
            </w:pPr>
            <w:r>
              <w:rPr>
                <w:rFonts w:ascii="Cambria" w:hAnsi="Cambria"/>
              </w:rPr>
              <w:t>$1.25</w:t>
            </w:r>
          </w:p>
        </w:tc>
        <w:tc>
          <w:tcPr>
            <w:tcW w:w="1795" w:type="dxa"/>
          </w:tcPr>
          <w:p w14:paraId="72EF963E" w14:textId="77777777" w:rsidR="00485E16" w:rsidRDefault="00485E16" w:rsidP="00F0793E">
            <w:pPr>
              <w:contextualSpacing/>
              <w:jc w:val="center"/>
              <w:rPr>
                <w:rFonts w:ascii="Cambria" w:hAnsi="Cambria"/>
              </w:rPr>
            </w:pPr>
            <w:r>
              <w:rPr>
                <w:rFonts w:ascii="Cambria" w:hAnsi="Cambria"/>
              </w:rPr>
              <w:t>Third Shift</w:t>
            </w:r>
          </w:p>
        </w:tc>
        <w:tc>
          <w:tcPr>
            <w:tcW w:w="1530" w:type="dxa"/>
          </w:tcPr>
          <w:p w14:paraId="6C63AC07" w14:textId="77777777" w:rsidR="00485E16" w:rsidRDefault="00485E16" w:rsidP="00F0793E">
            <w:pPr>
              <w:contextualSpacing/>
              <w:jc w:val="center"/>
              <w:rPr>
                <w:rFonts w:ascii="Cambria" w:hAnsi="Cambria"/>
              </w:rPr>
            </w:pPr>
            <w:r>
              <w:rPr>
                <w:rFonts w:ascii="Cambria" w:hAnsi="Cambria"/>
              </w:rPr>
              <w:t>$1.50</w:t>
            </w:r>
          </w:p>
        </w:tc>
      </w:tr>
      <w:tr w:rsidR="00485E16" w14:paraId="57DF983C" w14:textId="77777777" w:rsidTr="00092BD3">
        <w:trPr>
          <w:jc w:val="center"/>
        </w:trPr>
        <w:tc>
          <w:tcPr>
            <w:tcW w:w="1795" w:type="dxa"/>
          </w:tcPr>
          <w:p w14:paraId="04CC0CDE" w14:textId="77777777" w:rsidR="00485E16" w:rsidRDefault="00485E16" w:rsidP="00F0793E">
            <w:pPr>
              <w:contextualSpacing/>
              <w:jc w:val="center"/>
              <w:rPr>
                <w:rFonts w:ascii="Cambria" w:hAnsi="Cambria"/>
              </w:rPr>
            </w:pPr>
            <w:r>
              <w:rPr>
                <w:rFonts w:ascii="Cambria" w:hAnsi="Cambria"/>
              </w:rPr>
              <w:t>$1.00</w:t>
            </w:r>
          </w:p>
        </w:tc>
        <w:tc>
          <w:tcPr>
            <w:tcW w:w="1795" w:type="dxa"/>
          </w:tcPr>
          <w:p w14:paraId="23165972" w14:textId="77777777" w:rsidR="00485E16" w:rsidRDefault="00485E16" w:rsidP="00F0793E">
            <w:pPr>
              <w:contextualSpacing/>
              <w:jc w:val="center"/>
              <w:rPr>
                <w:rFonts w:ascii="Cambria" w:hAnsi="Cambria"/>
              </w:rPr>
            </w:pPr>
            <w:r>
              <w:rPr>
                <w:rFonts w:ascii="Cambria" w:hAnsi="Cambria"/>
              </w:rPr>
              <w:t>Weekend</w:t>
            </w:r>
          </w:p>
        </w:tc>
        <w:tc>
          <w:tcPr>
            <w:tcW w:w="1530" w:type="dxa"/>
          </w:tcPr>
          <w:p w14:paraId="2B72381E" w14:textId="77777777" w:rsidR="00485E16" w:rsidRDefault="00485E16" w:rsidP="00F0793E">
            <w:pPr>
              <w:contextualSpacing/>
              <w:jc w:val="center"/>
              <w:rPr>
                <w:rFonts w:ascii="Cambria" w:hAnsi="Cambria"/>
              </w:rPr>
            </w:pPr>
            <w:r>
              <w:rPr>
                <w:rFonts w:ascii="Cambria" w:hAnsi="Cambria"/>
              </w:rPr>
              <w:t>$1.25</w:t>
            </w:r>
          </w:p>
        </w:tc>
      </w:tr>
    </w:tbl>
    <w:p w14:paraId="37E01E9F" w14:textId="77777777" w:rsidR="00485E16" w:rsidRDefault="00485E16" w:rsidP="00485E16">
      <w:pPr>
        <w:spacing w:line="240" w:lineRule="auto"/>
        <w:contextualSpacing/>
        <w:rPr>
          <w:rFonts w:ascii="Cambria" w:hAnsi="Cambria"/>
          <w:u w:val="single"/>
        </w:rPr>
      </w:pPr>
    </w:p>
    <w:p w14:paraId="2C039806" w14:textId="77777777" w:rsidR="00485E16" w:rsidRPr="001C0608" w:rsidRDefault="00485E16" w:rsidP="00485E16">
      <w:pPr>
        <w:spacing w:line="240" w:lineRule="auto"/>
        <w:contextualSpacing/>
        <w:rPr>
          <w:rFonts w:ascii="Cambria" w:hAnsi="Cambria"/>
          <w:b/>
          <w:bCs/>
        </w:rPr>
      </w:pPr>
      <w:r w:rsidRPr="001C0608">
        <w:rPr>
          <w:rFonts w:ascii="Cambria" w:hAnsi="Cambria"/>
          <w:b/>
          <w:bCs/>
        </w:rPr>
        <w:t>Detail Pay</w:t>
      </w:r>
    </w:p>
    <w:p w14:paraId="7CB3037F" w14:textId="7A9A0BA1" w:rsidR="003372EB" w:rsidRDefault="00485E16" w:rsidP="00485E16">
      <w:pPr>
        <w:spacing w:line="240" w:lineRule="auto"/>
        <w:contextualSpacing/>
        <w:rPr>
          <w:rFonts w:ascii="Cambria" w:hAnsi="Cambria"/>
        </w:rPr>
      </w:pPr>
      <w:r>
        <w:rPr>
          <w:rFonts w:ascii="Cambria" w:hAnsi="Cambria"/>
        </w:rPr>
        <w:t xml:space="preserve">The rates for </w:t>
      </w:r>
      <w:proofErr w:type="gramStart"/>
      <w:r>
        <w:rPr>
          <w:rFonts w:ascii="Cambria" w:hAnsi="Cambria"/>
        </w:rPr>
        <w:t>detail</w:t>
      </w:r>
      <w:proofErr w:type="gramEnd"/>
      <w:r>
        <w:rPr>
          <w:rFonts w:ascii="Cambria" w:hAnsi="Cambria"/>
        </w:rPr>
        <w:t xml:space="preserve"> pay will </w:t>
      </w:r>
      <w:proofErr w:type="gramStart"/>
      <w:r>
        <w:rPr>
          <w:rFonts w:ascii="Cambria" w:hAnsi="Cambria"/>
        </w:rPr>
        <w:t>increased gradually</w:t>
      </w:r>
      <w:proofErr w:type="gramEnd"/>
      <w:r>
        <w:rPr>
          <w:rFonts w:ascii="Cambria" w:hAnsi="Cambria"/>
        </w:rPr>
        <w:t xml:space="preserve"> over the life of this agreement. The current rate was $53. These rates are also being extended to Dispatchers who have completed training and would like to serve as a flagger.  The rates will change at the following intervals:</w:t>
      </w:r>
    </w:p>
    <w:p w14:paraId="14BC8A57" w14:textId="77777777" w:rsidR="00485E16" w:rsidRDefault="00485E16" w:rsidP="00485E16">
      <w:pPr>
        <w:spacing w:line="240" w:lineRule="auto"/>
        <w:contextualSpacing/>
        <w:rPr>
          <w:rFonts w:ascii="Cambria" w:hAnsi="Cambria"/>
        </w:rPr>
      </w:pPr>
    </w:p>
    <w:tbl>
      <w:tblPr>
        <w:tblStyle w:val="TableGrid"/>
        <w:tblW w:w="0" w:type="auto"/>
        <w:jc w:val="center"/>
        <w:tblLook w:val="04A0" w:firstRow="1" w:lastRow="0" w:firstColumn="1" w:lastColumn="0" w:noHBand="0" w:noVBand="1"/>
      </w:tblPr>
      <w:tblGrid>
        <w:gridCol w:w="2155"/>
        <w:gridCol w:w="1715"/>
      </w:tblGrid>
      <w:tr w:rsidR="00485E16" w14:paraId="594E1E0E" w14:textId="77777777" w:rsidTr="00092BD3">
        <w:trPr>
          <w:jc w:val="center"/>
        </w:trPr>
        <w:tc>
          <w:tcPr>
            <w:tcW w:w="2155" w:type="dxa"/>
          </w:tcPr>
          <w:p w14:paraId="2013E993" w14:textId="77777777" w:rsidR="00485E16" w:rsidRPr="003F5044" w:rsidRDefault="00485E16" w:rsidP="00485E16">
            <w:pPr>
              <w:ind w:left="-105"/>
              <w:contextualSpacing/>
              <w:jc w:val="center"/>
              <w:rPr>
                <w:rFonts w:ascii="Cambria" w:hAnsi="Cambria"/>
                <w:b/>
                <w:bCs/>
              </w:rPr>
            </w:pPr>
            <w:r w:rsidRPr="003F5044">
              <w:rPr>
                <w:rFonts w:ascii="Cambria" w:hAnsi="Cambria"/>
                <w:b/>
                <w:bCs/>
              </w:rPr>
              <w:t>Effective Date</w:t>
            </w:r>
          </w:p>
        </w:tc>
        <w:tc>
          <w:tcPr>
            <w:tcW w:w="1715" w:type="dxa"/>
          </w:tcPr>
          <w:p w14:paraId="36F46832" w14:textId="77777777" w:rsidR="00485E16" w:rsidRPr="003F5044" w:rsidRDefault="00485E16" w:rsidP="00F0793E">
            <w:pPr>
              <w:contextualSpacing/>
              <w:jc w:val="center"/>
              <w:rPr>
                <w:rFonts w:ascii="Cambria" w:hAnsi="Cambria"/>
                <w:b/>
                <w:bCs/>
              </w:rPr>
            </w:pPr>
            <w:r w:rsidRPr="003F5044">
              <w:rPr>
                <w:rFonts w:ascii="Cambria" w:hAnsi="Cambria"/>
                <w:b/>
                <w:bCs/>
              </w:rPr>
              <w:t>Pay Rate</w:t>
            </w:r>
          </w:p>
        </w:tc>
      </w:tr>
      <w:tr w:rsidR="00485E16" w14:paraId="34C77E59" w14:textId="77777777" w:rsidTr="00092BD3">
        <w:trPr>
          <w:jc w:val="center"/>
        </w:trPr>
        <w:tc>
          <w:tcPr>
            <w:tcW w:w="2155" w:type="dxa"/>
          </w:tcPr>
          <w:p w14:paraId="24E3DB66" w14:textId="77777777" w:rsidR="00485E16" w:rsidRDefault="00485E16" w:rsidP="00F0793E">
            <w:pPr>
              <w:contextualSpacing/>
              <w:rPr>
                <w:rFonts w:ascii="Cambria" w:hAnsi="Cambria"/>
              </w:rPr>
            </w:pPr>
            <w:r>
              <w:rPr>
                <w:rFonts w:ascii="Cambria" w:hAnsi="Cambria"/>
              </w:rPr>
              <w:t>October 9, 2024</w:t>
            </w:r>
          </w:p>
        </w:tc>
        <w:tc>
          <w:tcPr>
            <w:tcW w:w="1715" w:type="dxa"/>
          </w:tcPr>
          <w:p w14:paraId="5464A980" w14:textId="13102C7D" w:rsidR="00485E16" w:rsidRDefault="00485E16" w:rsidP="00F0793E">
            <w:pPr>
              <w:contextualSpacing/>
              <w:jc w:val="center"/>
              <w:rPr>
                <w:rFonts w:ascii="Cambria" w:hAnsi="Cambria"/>
              </w:rPr>
            </w:pPr>
            <w:r>
              <w:rPr>
                <w:rFonts w:ascii="Cambria" w:hAnsi="Cambria"/>
              </w:rPr>
              <w:t>$58</w:t>
            </w:r>
          </w:p>
        </w:tc>
      </w:tr>
      <w:tr w:rsidR="00485E16" w14:paraId="4ADE7454" w14:textId="77777777" w:rsidTr="00092BD3">
        <w:trPr>
          <w:jc w:val="center"/>
        </w:trPr>
        <w:tc>
          <w:tcPr>
            <w:tcW w:w="2155" w:type="dxa"/>
          </w:tcPr>
          <w:p w14:paraId="6446F6EB" w14:textId="77777777" w:rsidR="00485E16" w:rsidRDefault="00485E16" w:rsidP="00F0793E">
            <w:pPr>
              <w:contextualSpacing/>
              <w:rPr>
                <w:rFonts w:ascii="Cambria" w:hAnsi="Cambria"/>
              </w:rPr>
            </w:pPr>
            <w:r>
              <w:rPr>
                <w:rFonts w:ascii="Cambria" w:hAnsi="Cambria"/>
              </w:rPr>
              <w:t>July 1, 2025</w:t>
            </w:r>
          </w:p>
        </w:tc>
        <w:tc>
          <w:tcPr>
            <w:tcW w:w="1715" w:type="dxa"/>
          </w:tcPr>
          <w:p w14:paraId="117B865E" w14:textId="570C0E04" w:rsidR="00485E16" w:rsidRDefault="00485E16" w:rsidP="00F0793E">
            <w:pPr>
              <w:contextualSpacing/>
              <w:jc w:val="center"/>
              <w:rPr>
                <w:rFonts w:ascii="Cambria" w:hAnsi="Cambria"/>
              </w:rPr>
            </w:pPr>
            <w:r>
              <w:rPr>
                <w:rFonts w:ascii="Cambria" w:hAnsi="Cambria"/>
              </w:rPr>
              <w:t>$60</w:t>
            </w:r>
          </w:p>
        </w:tc>
      </w:tr>
      <w:tr w:rsidR="00485E16" w14:paraId="21BCC8CE" w14:textId="77777777" w:rsidTr="00092BD3">
        <w:trPr>
          <w:jc w:val="center"/>
        </w:trPr>
        <w:tc>
          <w:tcPr>
            <w:tcW w:w="2155" w:type="dxa"/>
          </w:tcPr>
          <w:p w14:paraId="53218C7D" w14:textId="77777777" w:rsidR="00485E16" w:rsidRDefault="00485E16" w:rsidP="00F0793E">
            <w:pPr>
              <w:contextualSpacing/>
              <w:rPr>
                <w:rFonts w:ascii="Cambria" w:hAnsi="Cambria"/>
              </w:rPr>
            </w:pPr>
            <w:r>
              <w:rPr>
                <w:rFonts w:ascii="Cambria" w:hAnsi="Cambria"/>
              </w:rPr>
              <w:t>July 1, 2026</w:t>
            </w:r>
          </w:p>
        </w:tc>
        <w:tc>
          <w:tcPr>
            <w:tcW w:w="1715" w:type="dxa"/>
          </w:tcPr>
          <w:p w14:paraId="4917664F" w14:textId="2B437B94" w:rsidR="00485E16" w:rsidRDefault="00485E16" w:rsidP="00F0793E">
            <w:pPr>
              <w:contextualSpacing/>
              <w:jc w:val="center"/>
              <w:rPr>
                <w:rFonts w:ascii="Cambria" w:hAnsi="Cambria"/>
              </w:rPr>
            </w:pPr>
            <w:r>
              <w:rPr>
                <w:rFonts w:ascii="Cambria" w:hAnsi="Cambria"/>
              </w:rPr>
              <w:t>$65</w:t>
            </w:r>
          </w:p>
        </w:tc>
      </w:tr>
    </w:tbl>
    <w:p w14:paraId="3D58CFCF" w14:textId="77777777" w:rsidR="00485E16" w:rsidRDefault="00485E16"/>
    <w:p w14:paraId="4A49A74D" w14:textId="025E6733" w:rsidR="001B15A3" w:rsidRDefault="001B15A3" w:rsidP="001B15A3">
      <w:pPr>
        <w:spacing w:line="240" w:lineRule="auto"/>
        <w:contextualSpacing/>
        <w:rPr>
          <w:rFonts w:ascii="Cambria" w:hAnsi="Cambria"/>
          <w:b/>
          <w:bCs/>
        </w:rPr>
      </w:pPr>
      <w:r>
        <w:rPr>
          <w:rFonts w:ascii="Cambria" w:hAnsi="Cambria"/>
          <w:b/>
          <w:bCs/>
        </w:rPr>
        <w:t>Communication Training Officers</w:t>
      </w:r>
    </w:p>
    <w:p w14:paraId="482BC7C2" w14:textId="77777777" w:rsidR="003372EB" w:rsidRDefault="001B15A3" w:rsidP="001E62D1">
      <w:pPr>
        <w:spacing w:line="240" w:lineRule="auto"/>
        <w:contextualSpacing/>
        <w:rPr>
          <w:rFonts w:ascii="Cambria" w:hAnsi="Cambria"/>
        </w:rPr>
      </w:pPr>
      <w:proofErr w:type="gramStart"/>
      <w:r>
        <w:rPr>
          <w:rFonts w:ascii="Cambria" w:hAnsi="Cambria"/>
        </w:rPr>
        <w:t>Similar to</w:t>
      </w:r>
      <w:proofErr w:type="gramEnd"/>
      <w:r>
        <w:rPr>
          <w:rFonts w:ascii="Cambria" w:hAnsi="Cambria"/>
        </w:rPr>
        <w:t xml:space="preserve"> the Field Offer Training designation for </w:t>
      </w:r>
      <w:r w:rsidR="001E62D1">
        <w:rPr>
          <w:rFonts w:ascii="Cambria" w:hAnsi="Cambria"/>
        </w:rPr>
        <w:t>P</w:t>
      </w:r>
      <w:r>
        <w:rPr>
          <w:rFonts w:ascii="Cambria" w:hAnsi="Cambria"/>
        </w:rPr>
        <w:t xml:space="preserve">olice </w:t>
      </w:r>
      <w:r w:rsidR="001E62D1">
        <w:rPr>
          <w:rFonts w:ascii="Cambria" w:hAnsi="Cambria"/>
        </w:rPr>
        <w:t>O</w:t>
      </w:r>
      <w:r>
        <w:rPr>
          <w:rFonts w:ascii="Cambria" w:hAnsi="Cambria"/>
        </w:rPr>
        <w:t xml:space="preserve">fficers, this designation is for Dispatchers who train dispatchers. </w:t>
      </w:r>
      <w:r w:rsidR="001E62D1">
        <w:rPr>
          <w:rFonts w:ascii="Cambria" w:hAnsi="Cambria"/>
        </w:rPr>
        <w:t xml:space="preserve">Dispatchers who are Communication Training Offers are now eligible for up to 10 hours of additional overtime for the preparation of reports related to the trainee’s performance and progress. </w:t>
      </w:r>
    </w:p>
    <w:p w14:paraId="268F1CA5" w14:textId="77777777" w:rsidR="003372EB" w:rsidRDefault="003372EB" w:rsidP="001E62D1">
      <w:pPr>
        <w:spacing w:line="240" w:lineRule="auto"/>
        <w:contextualSpacing/>
        <w:rPr>
          <w:rFonts w:ascii="Cambria" w:hAnsi="Cambria"/>
        </w:rPr>
      </w:pPr>
    </w:p>
    <w:p w14:paraId="2E599681" w14:textId="529B300C" w:rsidR="001E62D1" w:rsidRPr="001C0608" w:rsidRDefault="001E62D1" w:rsidP="001E62D1">
      <w:pPr>
        <w:spacing w:line="240" w:lineRule="auto"/>
        <w:contextualSpacing/>
        <w:rPr>
          <w:rFonts w:ascii="Cambria" w:hAnsi="Cambria"/>
          <w:b/>
          <w:bCs/>
        </w:rPr>
      </w:pPr>
      <w:r w:rsidRPr="001C0608">
        <w:rPr>
          <w:rFonts w:ascii="Cambria" w:hAnsi="Cambria"/>
          <w:b/>
          <w:bCs/>
        </w:rPr>
        <w:t>Salary Increases</w:t>
      </w:r>
    </w:p>
    <w:p w14:paraId="0B3E43AF" w14:textId="066D08FF" w:rsidR="001E62D1" w:rsidRDefault="001E62D1" w:rsidP="001E62D1">
      <w:pPr>
        <w:spacing w:line="240" w:lineRule="auto"/>
        <w:contextualSpacing/>
        <w:rPr>
          <w:rFonts w:ascii="Cambria" w:hAnsi="Cambria"/>
        </w:rPr>
      </w:pPr>
      <w:r>
        <w:rPr>
          <w:rFonts w:ascii="Cambria" w:hAnsi="Cambria"/>
        </w:rPr>
        <w:t xml:space="preserve">Prior to the implementation of the base salary increase, the Dispatcher II and III ranks salary chart was revised as follows: </w:t>
      </w:r>
    </w:p>
    <w:p w14:paraId="5A453483" w14:textId="77777777" w:rsidR="003372EB" w:rsidRDefault="003372EB" w:rsidP="001E62D1">
      <w:pPr>
        <w:spacing w:line="240" w:lineRule="auto"/>
        <w:contextualSpacing/>
        <w:rPr>
          <w:rFonts w:ascii="Cambria" w:hAnsi="Cambria"/>
        </w:rPr>
      </w:pPr>
    </w:p>
    <w:p w14:paraId="0EFC4D12" w14:textId="77777777" w:rsidR="003372EB" w:rsidRDefault="003372EB" w:rsidP="001E62D1">
      <w:pPr>
        <w:spacing w:line="240" w:lineRule="auto"/>
        <w:contextualSpacing/>
        <w:rPr>
          <w:rFonts w:ascii="Cambria" w:hAnsi="Cambria"/>
        </w:rPr>
      </w:pPr>
    </w:p>
    <w:p w14:paraId="374D3083" w14:textId="77777777" w:rsidR="003372EB" w:rsidRDefault="003372EB" w:rsidP="001E62D1">
      <w:pPr>
        <w:spacing w:line="240" w:lineRule="auto"/>
        <w:contextualSpacing/>
        <w:rPr>
          <w:rFonts w:ascii="Cambria" w:hAnsi="Cambria"/>
        </w:rPr>
      </w:pPr>
    </w:p>
    <w:p w14:paraId="0C3466B4" w14:textId="77777777" w:rsidR="001E62D1" w:rsidRDefault="001E62D1" w:rsidP="001E62D1">
      <w:pPr>
        <w:spacing w:line="240" w:lineRule="auto"/>
        <w:contextualSpacing/>
        <w:rPr>
          <w:rFonts w:ascii="Cambria" w:hAnsi="Cambria"/>
        </w:rPr>
      </w:pPr>
    </w:p>
    <w:tbl>
      <w:tblPr>
        <w:tblW w:w="89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1080"/>
        <w:gridCol w:w="1080"/>
        <w:gridCol w:w="1080"/>
        <w:gridCol w:w="1080"/>
        <w:gridCol w:w="1392"/>
        <w:gridCol w:w="970"/>
        <w:gridCol w:w="988"/>
      </w:tblGrid>
      <w:tr w:rsidR="001E62D1" w:rsidRPr="00F96D16" w14:paraId="6AB47B00" w14:textId="77777777" w:rsidTr="00092BD3">
        <w:trPr>
          <w:trHeight w:val="300"/>
          <w:jc w:val="center"/>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AE17EE0" w14:textId="77777777" w:rsidR="001E62D1" w:rsidRPr="001E62D1" w:rsidRDefault="001E62D1" w:rsidP="00F0793E">
            <w:pPr>
              <w:spacing w:after="0" w:line="240" w:lineRule="auto"/>
              <w:ind w:right="90"/>
              <w:textAlignment w:val="baseline"/>
              <w:rPr>
                <w:rFonts w:ascii="Cambria" w:eastAsia="Times New Roman" w:hAnsi="Cambria" w:cs="Times New Roman"/>
                <w:kern w:val="0"/>
                <w:sz w:val="22"/>
                <w:szCs w:val="22"/>
                <w14:ligatures w14:val="none"/>
              </w:rPr>
            </w:pPr>
            <w:r w:rsidRPr="001E62D1">
              <w:rPr>
                <w:rFonts w:ascii="Cambria" w:eastAsia="Times New Roman" w:hAnsi="Cambria" w:cs="Times New Roman"/>
                <w:kern w:val="0"/>
                <w:sz w:val="22"/>
                <w:szCs w:val="22"/>
                <w14:ligatures w14:val="none"/>
              </w:rPr>
              <w:lastRenderedPageBreak/>
              <w:t>Grade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17CD478C" w14:textId="77777777" w:rsidR="001E62D1" w:rsidRPr="001E62D1" w:rsidRDefault="001E62D1" w:rsidP="00F0793E">
            <w:pPr>
              <w:spacing w:after="0" w:line="240" w:lineRule="auto"/>
              <w:ind w:right="90"/>
              <w:textAlignment w:val="baseline"/>
              <w:rPr>
                <w:rFonts w:ascii="Cambria" w:eastAsia="Times New Roman" w:hAnsi="Cambria" w:cs="Times New Roman"/>
                <w:kern w:val="0"/>
                <w:sz w:val="22"/>
                <w:szCs w:val="22"/>
                <w14:ligatures w14:val="none"/>
              </w:rPr>
            </w:pPr>
            <w:r w:rsidRPr="001E62D1">
              <w:rPr>
                <w:rFonts w:ascii="Cambria" w:eastAsia="Times New Roman" w:hAnsi="Cambria" w:cs="Times New Roman"/>
                <w:kern w:val="0"/>
                <w:sz w:val="22"/>
                <w:szCs w:val="22"/>
                <w14:ligatures w14:val="none"/>
              </w:rPr>
              <w:t>Step 1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393E761D" w14:textId="77777777" w:rsidR="001E62D1" w:rsidRPr="001E62D1" w:rsidRDefault="001E62D1" w:rsidP="00F0793E">
            <w:pPr>
              <w:spacing w:after="0" w:line="240" w:lineRule="auto"/>
              <w:ind w:right="90"/>
              <w:textAlignment w:val="baseline"/>
              <w:rPr>
                <w:rFonts w:ascii="Cambria" w:eastAsia="Times New Roman" w:hAnsi="Cambria" w:cs="Times New Roman"/>
                <w:kern w:val="0"/>
                <w:sz w:val="22"/>
                <w:szCs w:val="22"/>
                <w14:ligatures w14:val="none"/>
              </w:rPr>
            </w:pPr>
            <w:r w:rsidRPr="001E62D1">
              <w:rPr>
                <w:rFonts w:ascii="Cambria" w:eastAsia="Times New Roman" w:hAnsi="Cambria" w:cs="Times New Roman"/>
                <w:kern w:val="0"/>
                <w:sz w:val="22"/>
                <w:szCs w:val="22"/>
                <w14:ligatures w14:val="none"/>
              </w:rPr>
              <w:t>Step 2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2C460F7A" w14:textId="77777777" w:rsidR="001E62D1" w:rsidRPr="001E62D1" w:rsidRDefault="001E62D1" w:rsidP="00F0793E">
            <w:pPr>
              <w:spacing w:after="0" w:line="240" w:lineRule="auto"/>
              <w:ind w:right="90"/>
              <w:textAlignment w:val="baseline"/>
              <w:rPr>
                <w:rFonts w:ascii="Cambria" w:eastAsia="Times New Roman" w:hAnsi="Cambria" w:cs="Times New Roman"/>
                <w:kern w:val="0"/>
                <w:sz w:val="22"/>
                <w:szCs w:val="22"/>
                <w14:ligatures w14:val="none"/>
              </w:rPr>
            </w:pPr>
            <w:r w:rsidRPr="001E62D1">
              <w:rPr>
                <w:rFonts w:ascii="Cambria" w:eastAsia="Times New Roman" w:hAnsi="Cambria" w:cs="Times New Roman"/>
                <w:kern w:val="0"/>
                <w:sz w:val="22"/>
                <w:szCs w:val="22"/>
                <w14:ligatures w14:val="none"/>
              </w:rPr>
              <w:t>Step 3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16CC861A" w14:textId="77777777" w:rsidR="001E62D1" w:rsidRPr="001E62D1" w:rsidRDefault="001E62D1" w:rsidP="00F0793E">
            <w:pPr>
              <w:spacing w:after="0" w:line="240" w:lineRule="auto"/>
              <w:ind w:right="90"/>
              <w:textAlignment w:val="baseline"/>
              <w:rPr>
                <w:rFonts w:ascii="Cambria" w:eastAsia="Times New Roman" w:hAnsi="Cambria" w:cs="Times New Roman"/>
                <w:kern w:val="0"/>
                <w:sz w:val="22"/>
                <w:szCs w:val="22"/>
                <w14:ligatures w14:val="none"/>
              </w:rPr>
            </w:pPr>
            <w:r w:rsidRPr="001E62D1">
              <w:rPr>
                <w:rFonts w:ascii="Cambria" w:eastAsia="Times New Roman" w:hAnsi="Cambria" w:cs="Times New Roman"/>
                <w:kern w:val="0"/>
                <w:sz w:val="22"/>
                <w:szCs w:val="22"/>
                <w14:ligatures w14:val="none"/>
              </w:rPr>
              <w:t>Step 4 </w:t>
            </w:r>
          </w:p>
        </w:tc>
        <w:tc>
          <w:tcPr>
            <w:tcW w:w="1392" w:type="dxa"/>
            <w:tcBorders>
              <w:top w:val="single" w:sz="6" w:space="0" w:color="auto"/>
              <w:left w:val="single" w:sz="6" w:space="0" w:color="auto"/>
              <w:bottom w:val="single" w:sz="6" w:space="0" w:color="auto"/>
              <w:right w:val="single" w:sz="6" w:space="0" w:color="auto"/>
            </w:tcBorders>
            <w:shd w:val="clear" w:color="auto" w:fill="auto"/>
            <w:hideMark/>
          </w:tcPr>
          <w:p w14:paraId="3F415190" w14:textId="77777777" w:rsidR="001E62D1" w:rsidRPr="001E62D1" w:rsidRDefault="001E62D1" w:rsidP="00F0793E">
            <w:pPr>
              <w:spacing w:after="0" w:line="240" w:lineRule="auto"/>
              <w:ind w:right="90"/>
              <w:textAlignment w:val="baseline"/>
              <w:rPr>
                <w:rFonts w:ascii="Cambria" w:eastAsia="Times New Roman" w:hAnsi="Cambria" w:cs="Times New Roman"/>
                <w:kern w:val="0"/>
                <w:sz w:val="22"/>
                <w:szCs w:val="22"/>
                <w14:ligatures w14:val="none"/>
              </w:rPr>
            </w:pPr>
            <w:r w:rsidRPr="001E62D1">
              <w:rPr>
                <w:rFonts w:ascii="Cambria" w:eastAsia="Times New Roman" w:hAnsi="Cambria" w:cs="Times New Roman"/>
                <w:kern w:val="0"/>
                <w:sz w:val="22"/>
                <w:szCs w:val="22"/>
                <w14:ligatures w14:val="none"/>
              </w:rPr>
              <w:t>Step 5 </w:t>
            </w:r>
          </w:p>
        </w:tc>
        <w:tc>
          <w:tcPr>
            <w:tcW w:w="970" w:type="dxa"/>
            <w:tcBorders>
              <w:top w:val="single" w:sz="6" w:space="0" w:color="auto"/>
              <w:left w:val="single" w:sz="6" w:space="0" w:color="auto"/>
              <w:bottom w:val="single" w:sz="6" w:space="0" w:color="auto"/>
              <w:right w:val="single" w:sz="6" w:space="0" w:color="auto"/>
            </w:tcBorders>
            <w:shd w:val="clear" w:color="auto" w:fill="auto"/>
            <w:hideMark/>
          </w:tcPr>
          <w:p w14:paraId="47E2CB0B" w14:textId="77777777" w:rsidR="001E62D1" w:rsidRPr="001E62D1" w:rsidRDefault="001E62D1" w:rsidP="00F0793E">
            <w:pPr>
              <w:spacing w:after="0" w:line="240" w:lineRule="auto"/>
              <w:ind w:right="90"/>
              <w:textAlignment w:val="baseline"/>
              <w:rPr>
                <w:rFonts w:ascii="Cambria" w:eastAsia="Times New Roman" w:hAnsi="Cambria" w:cs="Times New Roman"/>
                <w:kern w:val="0"/>
                <w:sz w:val="22"/>
                <w:szCs w:val="22"/>
                <w14:ligatures w14:val="none"/>
              </w:rPr>
            </w:pPr>
            <w:r w:rsidRPr="001E62D1">
              <w:rPr>
                <w:rFonts w:ascii="Cambria" w:eastAsia="Times New Roman" w:hAnsi="Cambria" w:cs="Times New Roman"/>
                <w:kern w:val="0"/>
                <w:sz w:val="22"/>
                <w:szCs w:val="22"/>
                <w14:ligatures w14:val="none"/>
              </w:rPr>
              <w:t>Step 6 </w:t>
            </w:r>
          </w:p>
        </w:tc>
        <w:tc>
          <w:tcPr>
            <w:tcW w:w="988" w:type="dxa"/>
            <w:tcBorders>
              <w:top w:val="single" w:sz="6" w:space="0" w:color="auto"/>
              <w:left w:val="single" w:sz="6" w:space="0" w:color="auto"/>
              <w:bottom w:val="single" w:sz="6" w:space="0" w:color="auto"/>
              <w:right w:val="single" w:sz="6" w:space="0" w:color="auto"/>
            </w:tcBorders>
            <w:shd w:val="clear" w:color="auto" w:fill="auto"/>
            <w:hideMark/>
          </w:tcPr>
          <w:p w14:paraId="629434A5" w14:textId="77777777" w:rsidR="001E62D1" w:rsidRPr="001E62D1" w:rsidRDefault="001E62D1" w:rsidP="00F0793E">
            <w:pPr>
              <w:spacing w:after="0" w:line="240" w:lineRule="auto"/>
              <w:ind w:right="90"/>
              <w:textAlignment w:val="baseline"/>
              <w:rPr>
                <w:rFonts w:ascii="Cambria" w:eastAsia="Times New Roman" w:hAnsi="Cambria" w:cs="Times New Roman"/>
                <w:kern w:val="0"/>
                <w:sz w:val="22"/>
                <w:szCs w:val="22"/>
                <w14:ligatures w14:val="none"/>
              </w:rPr>
            </w:pPr>
            <w:r w:rsidRPr="001E62D1">
              <w:rPr>
                <w:rFonts w:ascii="Cambria" w:eastAsia="Times New Roman" w:hAnsi="Cambria" w:cs="Times New Roman"/>
                <w:kern w:val="0"/>
                <w:sz w:val="22"/>
                <w:szCs w:val="22"/>
                <w14:ligatures w14:val="none"/>
              </w:rPr>
              <w:t>Step 7 </w:t>
            </w:r>
          </w:p>
        </w:tc>
      </w:tr>
      <w:tr w:rsidR="001E62D1" w:rsidRPr="00F96D16" w14:paraId="78DEF828" w14:textId="77777777" w:rsidTr="00092BD3">
        <w:trPr>
          <w:trHeight w:val="300"/>
          <w:jc w:val="center"/>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8DF9FC5" w14:textId="77777777" w:rsidR="001E62D1" w:rsidRPr="001E62D1" w:rsidRDefault="001E62D1" w:rsidP="00F0793E">
            <w:pPr>
              <w:spacing w:after="0" w:line="240" w:lineRule="auto"/>
              <w:ind w:right="90"/>
              <w:textAlignment w:val="baseline"/>
              <w:rPr>
                <w:rFonts w:ascii="Cambria" w:eastAsia="Times New Roman" w:hAnsi="Cambria" w:cs="Times New Roman"/>
                <w:kern w:val="0"/>
                <w:sz w:val="22"/>
                <w:szCs w:val="22"/>
                <w14:ligatures w14:val="none"/>
              </w:rPr>
            </w:pPr>
            <w:r w:rsidRPr="001E62D1">
              <w:rPr>
                <w:rFonts w:ascii="Cambria" w:eastAsia="Times New Roman" w:hAnsi="Cambria" w:cs="Times New Roman"/>
                <w:kern w:val="0"/>
                <w:sz w:val="22"/>
                <w:szCs w:val="22"/>
                <w14:ligatures w14:val="none"/>
              </w:rPr>
              <w:t>Disp II   13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26010A35" w14:textId="63A80D3A" w:rsidR="001E62D1" w:rsidRPr="001E62D1" w:rsidRDefault="001E62D1" w:rsidP="00F0793E">
            <w:pPr>
              <w:spacing w:after="0" w:line="240" w:lineRule="auto"/>
              <w:ind w:right="90"/>
              <w:jc w:val="center"/>
              <w:textAlignment w:val="baseline"/>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w:t>
            </w:r>
            <w:r w:rsidRPr="001E62D1">
              <w:rPr>
                <w:rFonts w:ascii="Cambria" w:eastAsia="Times New Roman" w:hAnsi="Cambria" w:cs="Times New Roman"/>
                <w:kern w:val="0"/>
                <w:sz w:val="22"/>
                <w:szCs w:val="22"/>
                <w14:ligatures w14:val="none"/>
              </w:rPr>
              <w:t>2,191.78</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10F14B3B" w14:textId="2B50491B" w:rsidR="001E62D1" w:rsidRPr="001E62D1" w:rsidRDefault="001E62D1" w:rsidP="00F0793E">
            <w:pPr>
              <w:spacing w:after="0" w:line="240" w:lineRule="auto"/>
              <w:ind w:right="90"/>
              <w:jc w:val="center"/>
              <w:textAlignment w:val="baseline"/>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w:t>
            </w:r>
            <w:r w:rsidRPr="001E62D1">
              <w:rPr>
                <w:rFonts w:ascii="Cambria" w:eastAsia="Times New Roman" w:hAnsi="Cambria" w:cs="Times New Roman"/>
                <w:kern w:val="0"/>
                <w:sz w:val="22"/>
                <w:szCs w:val="22"/>
                <w14:ligatures w14:val="none"/>
              </w:rPr>
              <w:t>2,301.35</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13DFBDD9" w14:textId="705FF36C" w:rsidR="001E62D1" w:rsidRPr="001E62D1" w:rsidRDefault="001E62D1" w:rsidP="00F0793E">
            <w:pPr>
              <w:spacing w:after="0" w:line="240" w:lineRule="auto"/>
              <w:ind w:right="90"/>
              <w:jc w:val="center"/>
              <w:textAlignment w:val="baseline"/>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w:t>
            </w:r>
            <w:r w:rsidRPr="001E62D1">
              <w:rPr>
                <w:rFonts w:ascii="Cambria" w:eastAsia="Times New Roman" w:hAnsi="Cambria" w:cs="Times New Roman"/>
                <w:kern w:val="0"/>
                <w:sz w:val="22"/>
                <w:szCs w:val="22"/>
                <w14:ligatures w14:val="none"/>
              </w:rPr>
              <w:t>2,340.41</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0982F624" w14:textId="41FA1D29" w:rsidR="001E62D1" w:rsidRPr="001E62D1" w:rsidRDefault="001E62D1" w:rsidP="00F0793E">
            <w:pPr>
              <w:spacing w:after="0" w:line="240" w:lineRule="auto"/>
              <w:ind w:right="90"/>
              <w:jc w:val="center"/>
              <w:textAlignment w:val="baseline"/>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w:t>
            </w:r>
            <w:r w:rsidRPr="001E62D1">
              <w:rPr>
                <w:rFonts w:ascii="Cambria" w:eastAsia="Times New Roman" w:hAnsi="Cambria" w:cs="Times New Roman"/>
                <w:kern w:val="0"/>
                <w:sz w:val="22"/>
                <w:szCs w:val="22"/>
                <w14:ligatures w14:val="none"/>
              </w:rPr>
              <w:t>2,385.03</w:t>
            </w:r>
          </w:p>
        </w:tc>
        <w:tc>
          <w:tcPr>
            <w:tcW w:w="1392" w:type="dxa"/>
            <w:tcBorders>
              <w:top w:val="single" w:sz="6" w:space="0" w:color="auto"/>
              <w:left w:val="single" w:sz="6" w:space="0" w:color="auto"/>
              <w:bottom w:val="single" w:sz="6" w:space="0" w:color="auto"/>
              <w:right w:val="single" w:sz="6" w:space="0" w:color="auto"/>
            </w:tcBorders>
            <w:shd w:val="clear" w:color="auto" w:fill="auto"/>
            <w:hideMark/>
          </w:tcPr>
          <w:p w14:paraId="0029816C" w14:textId="1B501417" w:rsidR="001E62D1" w:rsidRPr="001E62D1" w:rsidRDefault="00BC5135" w:rsidP="00F0793E">
            <w:pPr>
              <w:spacing w:after="0" w:line="240" w:lineRule="auto"/>
              <w:ind w:right="90"/>
              <w:jc w:val="center"/>
              <w:textAlignment w:val="baseline"/>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w:t>
            </w:r>
            <w:r w:rsidR="001E62D1" w:rsidRPr="001E62D1">
              <w:rPr>
                <w:rFonts w:ascii="Cambria" w:eastAsia="Times New Roman" w:hAnsi="Cambria" w:cs="Times New Roman"/>
                <w:kern w:val="0"/>
                <w:sz w:val="22"/>
                <w:szCs w:val="22"/>
                <w14:ligatures w14:val="none"/>
              </w:rPr>
              <w:t>2,430.84</w:t>
            </w:r>
          </w:p>
        </w:tc>
        <w:tc>
          <w:tcPr>
            <w:tcW w:w="970" w:type="dxa"/>
            <w:tcBorders>
              <w:top w:val="single" w:sz="6" w:space="0" w:color="auto"/>
              <w:left w:val="single" w:sz="6" w:space="0" w:color="auto"/>
              <w:bottom w:val="single" w:sz="6" w:space="0" w:color="auto"/>
              <w:right w:val="single" w:sz="6" w:space="0" w:color="auto"/>
            </w:tcBorders>
            <w:shd w:val="clear" w:color="auto" w:fill="auto"/>
            <w:hideMark/>
          </w:tcPr>
          <w:p w14:paraId="5356C481" w14:textId="77777777" w:rsidR="001E62D1" w:rsidRPr="001E62D1" w:rsidRDefault="001E62D1" w:rsidP="00F0793E">
            <w:pPr>
              <w:spacing w:after="0" w:line="240" w:lineRule="auto"/>
              <w:ind w:right="90"/>
              <w:jc w:val="center"/>
              <w:textAlignment w:val="baseline"/>
              <w:rPr>
                <w:rFonts w:ascii="Cambria" w:eastAsia="Times New Roman" w:hAnsi="Cambria" w:cs="Times New Roman"/>
                <w:kern w:val="0"/>
                <w:sz w:val="22"/>
                <w:szCs w:val="22"/>
                <w14:ligatures w14:val="none"/>
              </w:rPr>
            </w:pPr>
            <w:r w:rsidRPr="001E62D1">
              <w:rPr>
                <w:rFonts w:ascii="Cambria" w:eastAsia="Times New Roman" w:hAnsi="Cambria" w:cs="Times New Roman"/>
                <w:kern w:val="0"/>
                <w:sz w:val="22"/>
                <w:szCs w:val="22"/>
                <w14:ligatures w14:val="none"/>
              </w:rPr>
              <w:t>2,479.46</w:t>
            </w:r>
          </w:p>
        </w:tc>
        <w:tc>
          <w:tcPr>
            <w:tcW w:w="988" w:type="dxa"/>
            <w:tcBorders>
              <w:top w:val="single" w:sz="6" w:space="0" w:color="auto"/>
              <w:left w:val="single" w:sz="6" w:space="0" w:color="auto"/>
              <w:bottom w:val="single" w:sz="6" w:space="0" w:color="auto"/>
              <w:right w:val="single" w:sz="6" w:space="0" w:color="auto"/>
            </w:tcBorders>
            <w:shd w:val="clear" w:color="auto" w:fill="auto"/>
            <w:hideMark/>
          </w:tcPr>
          <w:p w14:paraId="42BD7284" w14:textId="77777777" w:rsidR="001E62D1" w:rsidRPr="001E62D1" w:rsidRDefault="001E62D1" w:rsidP="00F0793E">
            <w:pPr>
              <w:spacing w:after="0" w:line="240" w:lineRule="auto"/>
              <w:ind w:right="90"/>
              <w:jc w:val="center"/>
              <w:textAlignment w:val="baseline"/>
              <w:rPr>
                <w:rFonts w:ascii="Cambria" w:eastAsia="Times New Roman" w:hAnsi="Cambria" w:cs="Times New Roman"/>
                <w:kern w:val="0"/>
                <w:sz w:val="22"/>
                <w:szCs w:val="22"/>
                <w14:ligatures w14:val="none"/>
              </w:rPr>
            </w:pPr>
            <w:r w:rsidRPr="001E62D1">
              <w:rPr>
                <w:rFonts w:ascii="Cambria" w:eastAsia="Times New Roman" w:hAnsi="Cambria" w:cs="Times New Roman"/>
                <w:kern w:val="0"/>
                <w:sz w:val="22"/>
                <w:szCs w:val="22"/>
                <w14:ligatures w14:val="none"/>
              </w:rPr>
              <w:t>2,529.05</w:t>
            </w:r>
          </w:p>
        </w:tc>
      </w:tr>
      <w:tr w:rsidR="001E62D1" w:rsidRPr="00F96D16" w14:paraId="7C0D5A3C" w14:textId="77777777" w:rsidTr="00092BD3">
        <w:trPr>
          <w:trHeight w:val="300"/>
          <w:jc w:val="center"/>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CE31E4E" w14:textId="77777777" w:rsidR="001E62D1" w:rsidRPr="001E62D1" w:rsidRDefault="001E62D1" w:rsidP="00F0793E">
            <w:pPr>
              <w:spacing w:after="0" w:line="240" w:lineRule="auto"/>
              <w:ind w:right="90"/>
              <w:textAlignment w:val="baseline"/>
              <w:rPr>
                <w:rFonts w:ascii="Cambria" w:eastAsia="Times New Roman" w:hAnsi="Cambria" w:cs="Times New Roman"/>
                <w:kern w:val="0"/>
                <w:sz w:val="22"/>
                <w:szCs w:val="22"/>
                <w14:ligatures w14:val="none"/>
              </w:rPr>
            </w:pPr>
            <w:r w:rsidRPr="001E62D1">
              <w:rPr>
                <w:rFonts w:ascii="Cambria" w:eastAsia="Times New Roman" w:hAnsi="Cambria" w:cs="Times New Roman"/>
                <w:kern w:val="0"/>
                <w:sz w:val="22"/>
                <w:szCs w:val="22"/>
                <w14:ligatures w14:val="none"/>
              </w:rPr>
              <w:t>Disp III  14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500E4EE8" w14:textId="41104DA6" w:rsidR="001E62D1" w:rsidRPr="001E62D1" w:rsidRDefault="001E62D1" w:rsidP="00F0793E">
            <w:pPr>
              <w:spacing w:after="0" w:line="240" w:lineRule="auto"/>
              <w:ind w:right="90"/>
              <w:jc w:val="center"/>
              <w:textAlignment w:val="baseline"/>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w:t>
            </w:r>
            <w:r w:rsidRPr="001E62D1">
              <w:rPr>
                <w:rFonts w:ascii="Cambria" w:eastAsia="Times New Roman" w:hAnsi="Cambria" w:cs="Times New Roman"/>
                <w:kern w:val="0"/>
                <w:sz w:val="22"/>
                <w:szCs w:val="22"/>
                <w14:ligatures w14:val="none"/>
              </w:rPr>
              <w:t>2,311.23</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4FF5F971" w14:textId="42116374" w:rsidR="001E62D1" w:rsidRPr="001E62D1" w:rsidRDefault="001E62D1" w:rsidP="00F0793E">
            <w:pPr>
              <w:spacing w:after="0" w:line="240" w:lineRule="auto"/>
              <w:ind w:right="90"/>
              <w:jc w:val="center"/>
              <w:textAlignment w:val="baseline"/>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w:t>
            </w:r>
            <w:r w:rsidRPr="001E62D1">
              <w:rPr>
                <w:rFonts w:ascii="Cambria" w:eastAsia="Times New Roman" w:hAnsi="Cambria" w:cs="Times New Roman"/>
                <w:kern w:val="0"/>
                <w:sz w:val="22"/>
                <w:szCs w:val="22"/>
                <w14:ligatures w14:val="none"/>
              </w:rPr>
              <w:t>2,440.61</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2A6F31C1" w14:textId="2C0A6D4C" w:rsidR="001E62D1" w:rsidRPr="001E62D1" w:rsidRDefault="001E62D1" w:rsidP="00F0793E">
            <w:pPr>
              <w:spacing w:after="0" w:line="240" w:lineRule="auto"/>
              <w:ind w:right="90"/>
              <w:jc w:val="center"/>
              <w:textAlignment w:val="baseline"/>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w:t>
            </w:r>
            <w:r w:rsidRPr="001E62D1">
              <w:rPr>
                <w:rFonts w:ascii="Cambria" w:eastAsia="Times New Roman" w:hAnsi="Cambria" w:cs="Times New Roman"/>
                <w:kern w:val="0"/>
                <w:sz w:val="22"/>
                <w:szCs w:val="22"/>
                <w14:ligatures w14:val="none"/>
              </w:rPr>
              <w:t>2,494.68</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06D47A74" w14:textId="333D9080" w:rsidR="001E62D1" w:rsidRPr="001E62D1" w:rsidRDefault="001E62D1" w:rsidP="00F0793E">
            <w:pPr>
              <w:spacing w:after="0" w:line="240" w:lineRule="auto"/>
              <w:ind w:right="90"/>
              <w:jc w:val="center"/>
              <w:textAlignment w:val="baseline"/>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w:t>
            </w:r>
            <w:r w:rsidRPr="001E62D1">
              <w:rPr>
                <w:rFonts w:ascii="Cambria" w:eastAsia="Times New Roman" w:hAnsi="Cambria" w:cs="Times New Roman"/>
                <w:kern w:val="0"/>
                <w:sz w:val="22"/>
                <w:szCs w:val="22"/>
                <w14:ligatures w14:val="none"/>
              </w:rPr>
              <w:t>2,530.51</w:t>
            </w:r>
          </w:p>
        </w:tc>
        <w:tc>
          <w:tcPr>
            <w:tcW w:w="1392" w:type="dxa"/>
            <w:tcBorders>
              <w:top w:val="single" w:sz="6" w:space="0" w:color="auto"/>
              <w:left w:val="single" w:sz="6" w:space="0" w:color="auto"/>
              <w:bottom w:val="single" w:sz="6" w:space="0" w:color="auto"/>
              <w:right w:val="single" w:sz="6" w:space="0" w:color="auto"/>
            </w:tcBorders>
            <w:shd w:val="clear" w:color="auto" w:fill="auto"/>
            <w:hideMark/>
          </w:tcPr>
          <w:p w14:paraId="206A769B" w14:textId="6A1F7658" w:rsidR="001E62D1" w:rsidRPr="001E62D1" w:rsidRDefault="00BC5135" w:rsidP="00F0793E">
            <w:pPr>
              <w:spacing w:after="0" w:line="240" w:lineRule="auto"/>
              <w:ind w:right="90"/>
              <w:jc w:val="center"/>
              <w:textAlignment w:val="baseline"/>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w:t>
            </w:r>
            <w:r w:rsidR="001E62D1" w:rsidRPr="001E62D1">
              <w:rPr>
                <w:rFonts w:ascii="Cambria" w:eastAsia="Times New Roman" w:hAnsi="Cambria" w:cs="Times New Roman"/>
                <w:kern w:val="0"/>
                <w:sz w:val="22"/>
                <w:szCs w:val="22"/>
                <w14:ligatures w14:val="none"/>
              </w:rPr>
              <w:t>2,579.22</w:t>
            </w:r>
          </w:p>
        </w:tc>
        <w:tc>
          <w:tcPr>
            <w:tcW w:w="970" w:type="dxa"/>
            <w:tcBorders>
              <w:top w:val="single" w:sz="6" w:space="0" w:color="auto"/>
              <w:left w:val="single" w:sz="6" w:space="0" w:color="auto"/>
              <w:bottom w:val="single" w:sz="6" w:space="0" w:color="auto"/>
              <w:right w:val="single" w:sz="6" w:space="0" w:color="auto"/>
            </w:tcBorders>
            <w:shd w:val="clear" w:color="auto" w:fill="auto"/>
            <w:hideMark/>
          </w:tcPr>
          <w:p w14:paraId="2F54D035" w14:textId="77777777" w:rsidR="001E62D1" w:rsidRPr="001E62D1" w:rsidRDefault="001E62D1" w:rsidP="00F0793E">
            <w:pPr>
              <w:spacing w:after="0" w:line="240" w:lineRule="auto"/>
              <w:ind w:right="90"/>
              <w:jc w:val="center"/>
              <w:textAlignment w:val="baseline"/>
              <w:rPr>
                <w:rFonts w:ascii="Cambria" w:eastAsia="Times New Roman" w:hAnsi="Cambria" w:cs="Times New Roman"/>
                <w:kern w:val="0"/>
                <w:sz w:val="22"/>
                <w:szCs w:val="22"/>
                <w14:ligatures w14:val="none"/>
              </w:rPr>
            </w:pPr>
            <w:r w:rsidRPr="001E62D1">
              <w:rPr>
                <w:rFonts w:ascii="Cambria" w:eastAsia="Times New Roman" w:hAnsi="Cambria" w:cs="Times New Roman"/>
                <w:kern w:val="0"/>
                <w:sz w:val="22"/>
                <w:szCs w:val="22"/>
                <w14:ligatures w14:val="none"/>
              </w:rPr>
              <w:t>2,630.80</w:t>
            </w:r>
          </w:p>
        </w:tc>
        <w:tc>
          <w:tcPr>
            <w:tcW w:w="988" w:type="dxa"/>
            <w:tcBorders>
              <w:top w:val="single" w:sz="6" w:space="0" w:color="auto"/>
              <w:left w:val="single" w:sz="6" w:space="0" w:color="auto"/>
              <w:bottom w:val="single" w:sz="6" w:space="0" w:color="auto"/>
              <w:right w:val="single" w:sz="6" w:space="0" w:color="auto"/>
            </w:tcBorders>
            <w:shd w:val="clear" w:color="auto" w:fill="auto"/>
            <w:hideMark/>
          </w:tcPr>
          <w:p w14:paraId="63C4480F" w14:textId="77777777" w:rsidR="001E62D1" w:rsidRPr="001E62D1" w:rsidRDefault="001E62D1" w:rsidP="00F0793E">
            <w:pPr>
              <w:spacing w:after="0" w:line="240" w:lineRule="auto"/>
              <w:ind w:right="90"/>
              <w:jc w:val="center"/>
              <w:textAlignment w:val="baseline"/>
              <w:rPr>
                <w:rFonts w:ascii="Cambria" w:eastAsia="Times New Roman" w:hAnsi="Cambria" w:cs="Times New Roman"/>
                <w:kern w:val="0"/>
                <w:sz w:val="22"/>
                <w:szCs w:val="22"/>
                <w14:ligatures w14:val="none"/>
              </w:rPr>
            </w:pPr>
            <w:r w:rsidRPr="001E62D1">
              <w:rPr>
                <w:rFonts w:ascii="Cambria" w:eastAsia="Times New Roman" w:hAnsi="Cambria" w:cs="Times New Roman"/>
                <w:kern w:val="0"/>
                <w:sz w:val="22"/>
                <w:szCs w:val="22"/>
                <w14:ligatures w14:val="none"/>
              </w:rPr>
              <w:t>2,683.42</w:t>
            </w:r>
          </w:p>
        </w:tc>
      </w:tr>
    </w:tbl>
    <w:p w14:paraId="1ADDBDED" w14:textId="77777777" w:rsidR="001E62D1" w:rsidRDefault="001E62D1" w:rsidP="001E62D1">
      <w:pPr>
        <w:spacing w:line="240" w:lineRule="auto"/>
        <w:contextualSpacing/>
        <w:rPr>
          <w:rFonts w:ascii="Cambria" w:hAnsi="Cambria"/>
        </w:rPr>
      </w:pPr>
    </w:p>
    <w:p w14:paraId="3DEF8FEE" w14:textId="1323FD09" w:rsidR="001E62D1" w:rsidRDefault="001E62D1" w:rsidP="001E62D1">
      <w:pPr>
        <w:spacing w:line="240" w:lineRule="auto"/>
        <w:contextualSpacing/>
        <w:rPr>
          <w:rFonts w:ascii="Cambria" w:hAnsi="Cambria"/>
        </w:rPr>
      </w:pPr>
      <w:r>
        <w:rPr>
          <w:rFonts w:ascii="Cambria" w:hAnsi="Cambria"/>
        </w:rPr>
        <w:t>The agreement also provides for base salary increases at the following intervals:</w:t>
      </w:r>
    </w:p>
    <w:p w14:paraId="2A7178BA" w14:textId="77777777" w:rsidR="001E62D1" w:rsidRDefault="001E62D1" w:rsidP="001E62D1">
      <w:pPr>
        <w:spacing w:line="240" w:lineRule="auto"/>
        <w:contextualSpacing/>
        <w:rPr>
          <w:rFonts w:ascii="Cambria" w:hAnsi="Cambria"/>
        </w:rPr>
      </w:pPr>
    </w:p>
    <w:tbl>
      <w:tblPr>
        <w:tblStyle w:val="TableGrid"/>
        <w:tblW w:w="0" w:type="auto"/>
        <w:jc w:val="center"/>
        <w:tblLook w:val="04A0" w:firstRow="1" w:lastRow="0" w:firstColumn="1" w:lastColumn="0" w:noHBand="0" w:noVBand="1"/>
      </w:tblPr>
      <w:tblGrid>
        <w:gridCol w:w="2335"/>
        <w:gridCol w:w="1444"/>
      </w:tblGrid>
      <w:tr w:rsidR="001E62D1" w14:paraId="7EB9ABF4" w14:textId="77777777" w:rsidTr="00092BD3">
        <w:trPr>
          <w:jc w:val="center"/>
        </w:trPr>
        <w:tc>
          <w:tcPr>
            <w:tcW w:w="2335" w:type="dxa"/>
          </w:tcPr>
          <w:p w14:paraId="5E313430" w14:textId="77777777" w:rsidR="001E62D1" w:rsidRPr="0001455C" w:rsidRDefault="001E62D1" w:rsidP="00F0793E">
            <w:pPr>
              <w:contextualSpacing/>
              <w:rPr>
                <w:rFonts w:ascii="Cambria" w:hAnsi="Cambria"/>
                <w:b/>
                <w:bCs/>
              </w:rPr>
            </w:pPr>
            <w:r w:rsidRPr="0001455C">
              <w:rPr>
                <w:rFonts w:ascii="Cambria" w:hAnsi="Cambria"/>
                <w:b/>
                <w:bCs/>
              </w:rPr>
              <w:t>Effective Date</w:t>
            </w:r>
          </w:p>
        </w:tc>
        <w:tc>
          <w:tcPr>
            <w:tcW w:w="1440" w:type="dxa"/>
          </w:tcPr>
          <w:p w14:paraId="20ABED41" w14:textId="77777777" w:rsidR="001E62D1" w:rsidRPr="0001455C" w:rsidRDefault="001E62D1" w:rsidP="00F0793E">
            <w:pPr>
              <w:contextualSpacing/>
              <w:rPr>
                <w:rFonts w:ascii="Cambria" w:hAnsi="Cambria"/>
                <w:b/>
                <w:bCs/>
              </w:rPr>
            </w:pPr>
            <w:r w:rsidRPr="0001455C">
              <w:rPr>
                <w:rFonts w:ascii="Cambria" w:hAnsi="Cambria"/>
                <w:b/>
                <w:bCs/>
              </w:rPr>
              <w:t xml:space="preserve">Percentage </w:t>
            </w:r>
          </w:p>
        </w:tc>
      </w:tr>
      <w:tr w:rsidR="001E62D1" w14:paraId="7B674170" w14:textId="77777777" w:rsidTr="00092BD3">
        <w:trPr>
          <w:jc w:val="center"/>
        </w:trPr>
        <w:tc>
          <w:tcPr>
            <w:tcW w:w="2335" w:type="dxa"/>
          </w:tcPr>
          <w:p w14:paraId="3406AB93" w14:textId="77777777" w:rsidR="001E62D1" w:rsidRDefault="001E62D1" w:rsidP="00F0793E">
            <w:pPr>
              <w:contextualSpacing/>
              <w:jc w:val="center"/>
              <w:rPr>
                <w:rFonts w:ascii="Cambria" w:hAnsi="Cambria"/>
              </w:rPr>
            </w:pPr>
            <w:r>
              <w:rPr>
                <w:rFonts w:ascii="Cambria" w:hAnsi="Cambria"/>
              </w:rPr>
              <w:t>January 12, 2025</w:t>
            </w:r>
          </w:p>
        </w:tc>
        <w:tc>
          <w:tcPr>
            <w:tcW w:w="1440" w:type="dxa"/>
          </w:tcPr>
          <w:p w14:paraId="7EF0EAA9" w14:textId="77777777" w:rsidR="001E62D1" w:rsidRDefault="001E62D1" w:rsidP="00F0793E">
            <w:pPr>
              <w:contextualSpacing/>
              <w:jc w:val="center"/>
              <w:rPr>
                <w:rFonts w:ascii="Cambria" w:hAnsi="Cambria"/>
              </w:rPr>
            </w:pPr>
            <w:r>
              <w:rPr>
                <w:rFonts w:ascii="Cambria" w:hAnsi="Cambria"/>
              </w:rPr>
              <w:t>3%</w:t>
            </w:r>
          </w:p>
        </w:tc>
      </w:tr>
      <w:tr w:rsidR="001E62D1" w14:paraId="188BDCB3" w14:textId="77777777" w:rsidTr="00092BD3">
        <w:trPr>
          <w:jc w:val="center"/>
        </w:trPr>
        <w:tc>
          <w:tcPr>
            <w:tcW w:w="2335" w:type="dxa"/>
          </w:tcPr>
          <w:p w14:paraId="43466331" w14:textId="77777777" w:rsidR="001E62D1" w:rsidRDefault="001E62D1" w:rsidP="00F0793E">
            <w:pPr>
              <w:contextualSpacing/>
              <w:jc w:val="center"/>
              <w:rPr>
                <w:rFonts w:ascii="Cambria" w:hAnsi="Cambria"/>
              </w:rPr>
            </w:pPr>
            <w:r>
              <w:rPr>
                <w:rFonts w:ascii="Cambria" w:hAnsi="Cambria"/>
              </w:rPr>
              <w:t>July 13, 2025</w:t>
            </w:r>
          </w:p>
        </w:tc>
        <w:tc>
          <w:tcPr>
            <w:tcW w:w="1440" w:type="dxa"/>
          </w:tcPr>
          <w:p w14:paraId="7E58323A" w14:textId="77777777" w:rsidR="001E62D1" w:rsidRDefault="001E62D1" w:rsidP="00F0793E">
            <w:pPr>
              <w:contextualSpacing/>
              <w:jc w:val="center"/>
              <w:rPr>
                <w:rFonts w:ascii="Cambria" w:hAnsi="Cambria"/>
              </w:rPr>
            </w:pPr>
            <w:r>
              <w:rPr>
                <w:rFonts w:ascii="Cambria" w:hAnsi="Cambria"/>
              </w:rPr>
              <w:t>2%</w:t>
            </w:r>
          </w:p>
        </w:tc>
      </w:tr>
      <w:tr w:rsidR="001E62D1" w14:paraId="321FFB9A" w14:textId="77777777" w:rsidTr="00092BD3">
        <w:trPr>
          <w:jc w:val="center"/>
        </w:trPr>
        <w:tc>
          <w:tcPr>
            <w:tcW w:w="2335" w:type="dxa"/>
          </w:tcPr>
          <w:p w14:paraId="489E7BCB" w14:textId="77777777" w:rsidR="001E62D1" w:rsidRDefault="001E62D1" w:rsidP="00F0793E">
            <w:pPr>
              <w:contextualSpacing/>
              <w:jc w:val="center"/>
              <w:rPr>
                <w:rFonts w:ascii="Cambria" w:hAnsi="Cambria"/>
              </w:rPr>
            </w:pPr>
            <w:r>
              <w:rPr>
                <w:rFonts w:ascii="Cambria" w:hAnsi="Cambria"/>
              </w:rPr>
              <w:t>January 11, 2026</w:t>
            </w:r>
          </w:p>
        </w:tc>
        <w:tc>
          <w:tcPr>
            <w:tcW w:w="1440" w:type="dxa"/>
          </w:tcPr>
          <w:p w14:paraId="03000081" w14:textId="77777777" w:rsidR="001E62D1" w:rsidRDefault="001E62D1" w:rsidP="00F0793E">
            <w:pPr>
              <w:contextualSpacing/>
              <w:jc w:val="center"/>
              <w:rPr>
                <w:rFonts w:ascii="Cambria" w:hAnsi="Cambria"/>
              </w:rPr>
            </w:pPr>
            <w:r>
              <w:rPr>
                <w:rFonts w:ascii="Cambria" w:hAnsi="Cambria"/>
              </w:rPr>
              <w:t>2%</w:t>
            </w:r>
          </w:p>
        </w:tc>
      </w:tr>
      <w:tr w:rsidR="001E62D1" w14:paraId="1DCB9321" w14:textId="77777777" w:rsidTr="00092BD3">
        <w:trPr>
          <w:jc w:val="center"/>
        </w:trPr>
        <w:tc>
          <w:tcPr>
            <w:tcW w:w="2335" w:type="dxa"/>
          </w:tcPr>
          <w:p w14:paraId="10041945" w14:textId="77777777" w:rsidR="001E62D1" w:rsidRDefault="001E62D1" w:rsidP="00F0793E">
            <w:pPr>
              <w:contextualSpacing/>
              <w:jc w:val="center"/>
              <w:rPr>
                <w:rFonts w:ascii="Cambria" w:hAnsi="Cambria"/>
              </w:rPr>
            </w:pPr>
            <w:r>
              <w:rPr>
                <w:rFonts w:ascii="Cambria" w:hAnsi="Cambria"/>
              </w:rPr>
              <w:t>July 12, 2026</w:t>
            </w:r>
          </w:p>
        </w:tc>
        <w:tc>
          <w:tcPr>
            <w:tcW w:w="1440" w:type="dxa"/>
          </w:tcPr>
          <w:p w14:paraId="084A19C7" w14:textId="77777777" w:rsidR="001E62D1" w:rsidRDefault="001E62D1" w:rsidP="00F0793E">
            <w:pPr>
              <w:contextualSpacing/>
              <w:jc w:val="center"/>
              <w:rPr>
                <w:rFonts w:ascii="Cambria" w:hAnsi="Cambria"/>
              </w:rPr>
            </w:pPr>
            <w:r>
              <w:rPr>
                <w:rFonts w:ascii="Cambria" w:hAnsi="Cambria"/>
              </w:rPr>
              <w:t>2%</w:t>
            </w:r>
          </w:p>
        </w:tc>
      </w:tr>
      <w:tr w:rsidR="001E62D1" w14:paraId="780834C3" w14:textId="77777777" w:rsidTr="00092BD3">
        <w:trPr>
          <w:jc w:val="center"/>
        </w:trPr>
        <w:tc>
          <w:tcPr>
            <w:tcW w:w="2335" w:type="dxa"/>
          </w:tcPr>
          <w:p w14:paraId="25D8166E" w14:textId="77777777" w:rsidR="001E62D1" w:rsidRDefault="001E62D1" w:rsidP="00F0793E">
            <w:pPr>
              <w:contextualSpacing/>
              <w:jc w:val="center"/>
              <w:rPr>
                <w:rFonts w:ascii="Cambria" w:hAnsi="Cambria"/>
              </w:rPr>
            </w:pPr>
            <w:r>
              <w:rPr>
                <w:rFonts w:ascii="Cambria" w:hAnsi="Cambria"/>
              </w:rPr>
              <w:t>January 10, 2027</w:t>
            </w:r>
          </w:p>
        </w:tc>
        <w:tc>
          <w:tcPr>
            <w:tcW w:w="1440" w:type="dxa"/>
          </w:tcPr>
          <w:p w14:paraId="6DE151B3" w14:textId="77777777" w:rsidR="001E62D1" w:rsidRDefault="001E62D1" w:rsidP="00F0793E">
            <w:pPr>
              <w:contextualSpacing/>
              <w:jc w:val="center"/>
              <w:rPr>
                <w:rFonts w:ascii="Cambria" w:hAnsi="Cambria"/>
              </w:rPr>
            </w:pPr>
            <w:r>
              <w:rPr>
                <w:rFonts w:ascii="Cambria" w:hAnsi="Cambria"/>
              </w:rPr>
              <w:t>2%</w:t>
            </w:r>
          </w:p>
        </w:tc>
      </w:tr>
    </w:tbl>
    <w:p w14:paraId="6DDD1D0A" w14:textId="77777777" w:rsidR="001E62D1" w:rsidRDefault="001E62D1" w:rsidP="001E62D1">
      <w:pPr>
        <w:spacing w:line="240" w:lineRule="auto"/>
        <w:contextualSpacing/>
        <w:rPr>
          <w:rFonts w:ascii="Cambria" w:hAnsi="Cambria"/>
        </w:rPr>
      </w:pPr>
    </w:p>
    <w:p w14:paraId="56B000BE" w14:textId="77777777" w:rsidR="001E62D1" w:rsidRPr="001C0608" w:rsidRDefault="001E62D1" w:rsidP="001E62D1">
      <w:pPr>
        <w:spacing w:line="240" w:lineRule="auto"/>
        <w:contextualSpacing/>
        <w:rPr>
          <w:rFonts w:ascii="Cambria" w:hAnsi="Cambria"/>
          <w:b/>
          <w:bCs/>
        </w:rPr>
      </w:pPr>
      <w:r w:rsidRPr="001C0608">
        <w:rPr>
          <w:rFonts w:ascii="Cambria" w:hAnsi="Cambria"/>
          <w:b/>
          <w:bCs/>
        </w:rPr>
        <w:t xml:space="preserve">Pool Funds </w:t>
      </w:r>
    </w:p>
    <w:p w14:paraId="39195975" w14:textId="4FC33339" w:rsidR="001E62D1" w:rsidRDefault="001E62D1" w:rsidP="001E62D1">
      <w:pPr>
        <w:spacing w:line="240" w:lineRule="auto"/>
        <w:contextualSpacing/>
        <w:rPr>
          <w:rFonts w:ascii="Cambria" w:hAnsi="Cambria"/>
        </w:rPr>
      </w:pPr>
      <w:r>
        <w:rPr>
          <w:rFonts w:ascii="Cambria" w:hAnsi="Cambria"/>
        </w:rPr>
        <w:t xml:space="preserve">As a union with steps, there was a pool of $200 per FTE. These funds were used to increase the </w:t>
      </w:r>
      <w:r w:rsidR="00BC5135">
        <w:rPr>
          <w:rFonts w:ascii="Cambria" w:hAnsi="Cambria"/>
        </w:rPr>
        <w:t>departmental and training stipends</w:t>
      </w:r>
      <w:r>
        <w:rPr>
          <w:rFonts w:ascii="Cambria" w:hAnsi="Cambria"/>
        </w:rPr>
        <w:t xml:space="preserve">. </w:t>
      </w:r>
    </w:p>
    <w:p w14:paraId="60AB7FFA" w14:textId="77777777" w:rsidR="001E62D1" w:rsidRDefault="001E62D1" w:rsidP="001B15A3">
      <w:pPr>
        <w:spacing w:line="240" w:lineRule="auto"/>
        <w:contextualSpacing/>
        <w:rPr>
          <w:rFonts w:ascii="Cambria" w:hAnsi="Cambria"/>
        </w:rPr>
      </w:pPr>
    </w:p>
    <w:p w14:paraId="510F40F7" w14:textId="77777777" w:rsidR="00BC5135" w:rsidRPr="001C0608" w:rsidRDefault="00BC5135" w:rsidP="00BC5135">
      <w:pPr>
        <w:spacing w:line="240" w:lineRule="auto"/>
        <w:contextualSpacing/>
        <w:rPr>
          <w:rFonts w:ascii="Cambria" w:hAnsi="Cambria"/>
          <w:b/>
          <w:bCs/>
        </w:rPr>
      </w:pPr>
      <w:r w:rsidRPr="001C0608">
        <w:rPr>
          <w:rFonts w:ascii="Cambria" w:hAnsi="Cambria"/>
          <w:b/>
          <w:bCs/>
        </w:rPr>
        <w:t xml:space="preserve">Departmental Position Stipends </w:t>
      </w:r>
    </w:p>
    <w:p w14:paraId="513C2BF4" w14:textId="77777777" w:rsidR="00BC5135" w:rsidRDefault="00BC5135" w:rsidP="00BC5135">
      <w:pPr>
        <w:spacing w:line="240" w:lineRule="auto"/>
        <w:contextualSpacing/>
        <w:rPr>
          <w:rFonts w:ascii="Cambria" w:hAnsi="Cambria"/>
        </w:rPr>
      </w:pPr>
      <w:r>
        <w:rPr>
          <w:rFonts w:ascii="Cambria" w:hAnsi="Cambria"/>
        </w:rPr>
        <w:t xml:space="preserve">For those that serve as </w:t>
      </w:r>
      <w:proofErr w:type="gramStart"/>
      <w:r>
        <w:rPr>
          <w:rFonts w:ascii="Cambria" w:hAnsi="Cambria"/>
        </w:rPr>
        <w:t>a Detective</w:t>
      </w:r>
      <w:proofErr w:type="gramEnd"/>
      <w:r>
        <w:rPr>
          <w:rFonts w:ascii="Cambria" w:hAnsi="Cambria"/>
        </w:rPr>
        <w:t>, Information Technology Specialist, Emergency Medical Technician, or General Instructive Defensive Tactics Instructor, and/or Field Training Coordinator, the stipend awarded shall increase as follows:</w:t>
      </w:r>
    </w:p>
    <w:p w14:paraId="0C6F22E2" w14:textId="77777777" w:rsidR="00BC5135" w:rsidRDefault="00BC5135" w:rsidP="00BC5135">
      <w:pPr>
        <w:spacing w:line="240" w:lineRule="auto"/>
        <w:contextualSpacing/>
        <w:rPr>
          <w:rFonts w:ascii="Cambria" w:hAnsi="Cambria"/>
        </w:rPr>
      </w:pPr>
    </w:p>
    <w:tbl>
      <w:tblPr>
        <w:tblStyle w:val="TableGrid"/>
        <w:tblW w:w="0" w:type="auto"/>
        <w:jc w:val="center"/>
        <w:tblLook w:val="04A0" w:firstRow="1" w:lastRow="0" w:firstColumn="1" w:lastColumn="0" w:noHBand="0" w:noVBand="1"/>
      </w:tblPr>
      <w:tblGrid>
        <w:gridCol w:w="2070"/>
        <w:gridCol w:w="1620"/>
        <w:gridCol w:w="1980"/>
      </w:tblGrid>
      <w:tr w:rsidR="00BC5135" w14:paraId="2FA8BB35" w14:textId="77777777" w:rsidTr="00092BD3">
        <w:trPr>
          <w:jc w:val="center"/>
        </w:trPr>
        <w:tc>
          <w:tcPr>
            <w:tcW w:w="2070" w:type="dxa"/>
          </w:tcPr>
          <w:p w14:paraId="1E99F984" w14:textId="77777777" w:rsidR="00BC5135" w:rsidRPr="009C258C" w:rsidRDefault="00BC5135" w:rsidP="00F0793E">
            <w:pPr>
              <w:contextualSpacing/>
              <w:rPr>
                <w:rFonts w:ascii="Cambria" w:hAnsi="Cambria"/>
                <w:b/>
                <w:bCs/>
              </w:rPr>
            </w:pPr>
            <w:r w:rsidRPr="009C258C">
              <w:rPr>
                <w:rFonts w:ascii="Cambria" w:hAnsi="Cambria"/>
                <w:b/>
                <w:bCs/>
              </w:rPr>
              <w:t>Current</w:t>
            </w:r>
            <w:r>
              <w:rPr>
                <w:rFonts w:ascii="Cambria" w:hAnsi="Cambria"/>
                <w:b/>
                <w:bCs/>
              </w:rPr>
              <w:t xml:space="preserve"> Stipend</w:t>
            </w:r>
          </w:p>
        </w:tc>
        <w:tc>
          <w:tcPr>
            <w:tcW w:w="1620" w:type="dxa"/>
          </w:tcPr>
          <w:p w14:paraId="14060663" w14:textId="77777777" w:rsidR="00BC5135" w:rsidRPr="009C258C" w:rsidRDefault="00BC5135" w:rsidP="00F0793E">
            <w:pPr>
              <w:contextualSpacing/>
              <w:rPr>
                <w:rFonts w:ascii="Cambria" w:hAnsi="Cambria"/>
                <w:b/>
                <w:bCs/>
              </w:rPr>
            </w:pPr>
            <w:r w:rsidRPr="009C258C">
              <w:rPr>
                <w:rFonts w:ascii="Cambria" w:hAnsi="Cambria"/>
                <w:b/>
                <w:bCs/>
              </w:rPr>
              <w:t>New Stipend</w:t>
            </w:r>
          </w:p>
        </w:tc>
        <w:tc>
          <w:tcPr>
            <w:tcW w:w="1980" w:type="dxa"/>
          </w:tcPr>
          <w:p w14:paraId="462FB7BE" w14:textId="77777777" w:rsidR="00BC5135" w:rsidRPr="009C258C" w:rsidRDefault="00BC5135" w:rsidP="00F0793E">
            <w:pPr>
              <w:contextualSpacing/>
              <w:jc w:val="center"/>
              <w:rPr>
                <w:rFonts w:ascii="Cambria" w:hAnsi="Cambria"/>
                <w:b/>
                <w:bCs/>
              </w:rPr>
            </w:pPr>
            <w:r w:rsidRPr="009C258C">
              <w:rPr>
                <w:rFonts w:ascii="Cambria" w:hAnsi="Cambria"/>
                <w:b/>
                <w:bCs/>
              </w:rPr>
              <w:t>Effective</w:t>
            </w:r>
          </w:p>
        </w:tc>
      </w:tr>
      <w:tr w:rsidR="00BC5135" w14:paraId="63A6D03E" w14:textId="77777777" w:rsidTr="00092BD3">
        <w:trPr>
          <w:jc w:val="center"/>
        </w:trPr>
        <w:tc>
          <w:tcPr>
            <w:tcW w:w="2070" w:type="dxa"/>
          </w:tcPr>
          <w:p w14:paraId="7722A928" w14:textId="77777777" w:rsidR="00BC5135" w:rsidRDefault="00BC5135" w:rsidP="00F0793E">
            <w:pPr>
              <w:contextualSpacing/>
              <w:jc w:val="center"/>
              <w:rPr>
                <w:rFonts w:ascii="Cambria" w:hAnsi="Cambria"/>
              </w:rPr>
            </w:pPr>
            <w:r>
              <w:rPr>
                <w:rFonts w:ascii="Cambria" w:hAnsi="Cambria"/>
              </w:rPr>
              <w:t>$1,500</w:t>
            </w:r>
          </w:p>
        </w:tc>
        <w:tc>
          <w:tcPr>
            <w:tcW w:w="1620" w:type="dxa"/>
          </w:tcPr>
          <w:p w14:paraId="07C0599F" w14:textId="77777777" w:rsidR="00BC5135" w:rsidRDefault="00BC5135" w:rsidP="00F0793E">
            <w:pPr>
              <w:contextualSpacing/>
              <w:jc w:val="center"/>
              <w:rPr>
                <w:rFonts w:ascii="Cambria" w:hAnsi="Cambria"/>
              </w:rPr>
            </w:pPr>
            <w:r>
              <w:rPr>
                <w:rFonts w:ascii="Cambria" w:hAnsi="Cambria"/>
              </w:rPr>
              <w:t>$1,750</w:t>
            </w:r>
          </w:p>
        </w:tc>
        <w:tc>
          <w:tcPr>
            <w:tcW w:w="1980" w:type="dxa"/>
          </w:tcPr>
          <w:p w14:paraId="793AE66D" w14:textId="77777777" w:rsidR="00BC5135" w:rsidRDefault="00BC5135" w:rsidP="00F0793E">
            <w:pPr>
              <w:contextualSpacing/>
              <w:jc w:val="center"/>
              <w:rPr>
                <w:rFonts w:ascii="Cambria" w:hAnsi="Cambria"/>
              </w:rPr>
            </w:pPr>
            <w:r>
              <w:rPr>
                <w:rFonts w:ascii="Cambria" w:hAnsi="Cambria"/>
              </w:rPr>
              <w:t>July 1, 2024</w:t>
            </w:r>
          </w:p>
        </w:tc>
      </w:tr>
      <w:tr w:rsidR="00BC5135" w14:paraId="7DF8D128" w14:textId="77777777" w:rsidTr="00092BD3">
        <w:trPr>
          <w:jc w:val="center"/>
        </w:trPr>
        <w:tc>
          <w:tcPr>
            <w:tcW w:w="2070" w:type="dxa"/>
          </w:tcPr>
          <w:p w14:paraId="118FC30D" w14:textId="77777777" w:rsidR="00BC5135" w:rsidRDefault="00BC5135" w:rsidP="00F0793E">
            <w:pPr>
              <w:contextualSpacing/>
              <w:jc w:val="center"/>
              <w:rPr>
                <w:rFonts w:ascii="Cambria" w:hAnsi="Cambria"/>
              </w:rPr>
            </w:pPr>
            <w:r>
              <w:rPr>
                <w:rFonts w:ascii="Cambria" w:hAnsi="Cambria"/>
              </w:rPr>
              <w:t>-</w:t>
            </w:r>
          </w:p>
        </w:tc>
        <w:tc>
          <w:tcPr>
            <w:tcW w:w="1620" w:type="dxa"/>
          </w:tcPr>
          <w:p w14:paraId="533A8C1C" w14:textId="77777777" w:rsidR="00BC5135" w:rsidRDefault="00BC5135" w:rsidP="00F0793E">
            <w:pPr>
              <w:contextualSpacing/>
              <w:jc w:val="center"/>
              <w:rPr>
                <w:rFonts w:ascii="Cambria" w:hAnsi="Cambria"/>
              </w:rPr>
            </w:pPr>
            <w:r>
              <w:rPr>
                <w:rFonts w:ascii="Cambria" w:hAnsi="Cambria"/>
              </w:rPr>
              <w:t>$2,000</w:t>
            </w:r>
          </w:p>
        </w:tc>
        <w:tc>
          <w:tcPr>
            <w:tcW w:w="1980" w:type="dxa"/>
          </w:tcPr>
          <w:p w14:paraId="081DE578" w14:textId="77777777" w:rsidR="00BC5135" w:rsidRDefault="00BC5135" w:rsidP="00F0793E">
            <w:pPr>
              <w:contextualSpacing/>
              <w:jc w:val="center"/>
              <w:rPr>
                <w:rFonts w:ascii="Cambria" w:hAnsi="Cambria"/>
              </w:rPr>
            </w:pPr>
            <w:r>
              <w:rPr>
                <w:rFonts w:ascii="Cambria" w:hAnsi="Cambria"/>
              </w:rPr>
              <w:t>July 1, 2025</w:t>
            </w:r>
          </w:p>
        </w:tc>
      </w:tr>
    </w:tbl>
    <w:p w14:paraId="3C4E2F80" w14:textId="77777777" w:rsidR="00BC5135" w:rsidRDefault="00BC5135" w:rsidP="001B15A3">
      <w:pPr>
        <w:spacing w:line="240" w:lineRule="auto"/>
        <w:contextualSpacing/>
        <w:rPr>
          <w:rFonts w:ascii="Cambria" w:hAnsi="Cambria"/>
        </w:rPr>
      </w:pPr>
    </w:p>
    <w:p w14:paraId="315054D6" w14:textId="1E810756" w:rsidR="001E62D1" w:rsidRDefault="00BC5135" w:rsidP="001B15A3">
      <w:pPr>
        <w:spacing w:line="240" w:lineRule="auto"/>
        <w:contextualSpacing/>
        <w:rPr>
          <w:rFonts w:ascii="Cambria" w:hAnsi="Cambria"/>
        </w:rPr>
      </w:pPr>
      <w:r>
        <w:rPr>
          <w:rFonts w:ascii="Cambria" w:hAnsi="Cambria"/>
        </w:rPr>
        <w:t>The Cadet Supervisor training increased from $1,350 to $1,450.</w:t>
      </w:r>
    </w:p>
    <w:p w14:paraId="4A5B74D7" w14:textId="77777777" w:rsidR="00BC5135" w:rsidRDefault="00BC5135" w:rsidP="001B15A3">
      <w:pPr>
        <w:spacing w:line="240" w:lineRule="auto"/>
        <w:contextualSpacing/>
        <w:rPr>
          <w:rFonts w:ascii="Cambria" w:hAnsi="Cambria"/>
        </w:rPr>
      </w:pPr>
    </w:p>
    <w:p w14:paraId="62231339" w14:textId="77777777" w:rsidR="00BC5135" w:rsidRPr="001C0608" w:rsidRDefault="00BC5135" w:rsidP="00BC5135">
      <w:pPr>
        <w:spacing w:line="240" w:lineRule="auto"/>
        <w:contextualSpacing/>
        <w:rPr>
          <w:rFonts w:ascii="Cambria" w:hAnsi="Cambria"/>
          <w:b/>
          <w:bCs/>
        </w:rPr>
      </w:pPr>
      <w:r w:rsidRPr="001C0608">
        <w:rPr>
          <w:rFonts w:ascii="Cambria" w:hAnsi="Cambria"/>
          <w:b/>
          <w:bCs/>
        </w:rPr>
        <w:t xml:space="preserve">Annual Training Stipends </w:t>
      </w:r>
    </w:p>
    <w:p w14:paraId="76A558E1" w14:textId="28C67C65" w:rsidR="00BC5135" w:rsidRDefault="00BC5135" w:rsidP="00BC5135">
      <w:pPr>
        <w:spacing w:line="240" w:lineRule="auto"/>
        <w:contextualSpacing/>
        <w:rPr>
          <w:rFonts w:ascii="Cambria" w:hAnsi="Cambria"/>
        </w:rPr>
      </w:pPr>
      <w:r>
        <w:rPr>
          <w:rFonts w:ascii="Cambria" w:hAnsi="Cambria"/>
        </w:rPr>
        <w:t xml:space="preserve">The parties agreed to increase the annual training stipend from $400 to $500. Two additional trainings were added which include EpiPens and body Cameras. The body cameras, while not implemented on campus, will be coming </w:t>
      </w:r>
      <w:proofErr w:type="gramStart"/>
      <w:r>
        <w:rPr>
          <w:rFonts w:ascii="Cambria" w:hAnsi="Cambria"/>
        </w:rPr>
        <w:t>in the near future</w:t>
      </w:r>
      <w:proofErr w:type="gramEnd"/>
      <w:r>
        <w:rPr>
          <w:rFonts w:ascii="Cambria" w:hAnsi="Cambria"/>
        </w:rPr>
        <w:t xml:space="preserve">. </w:t>
      </w:r>
    </w:p>
    <w:p w14:paraId="4E5B0234" w14:textId="77777777" w:rsidR="00BC5135" w:rsidRDefault="00BC5135" w:rsidP="001B15A3">
      <w:pPr>
        <w:spacing w:line="240" w:lineRule="auto"/>
        <w:contextualSpacing/>
        <w:rPr>
          <w:rFonts w:ascii="Cambria" w:hAnsi="Cambria"/>
        </w:rPr>
      </w:pPr>
    </w:p>
    <w:p w14:paraId="218DF666" w14:textId="77777777" w:rsidR="003372EB" w:rsidRPr="001C0608" w:rsidRDefault="003372EB" w:rsidP="003372EB">
      <w:pPr>
        <w:spacing w:line="240" w:lineRule="auto"/>
        <w:contextualSpacing/>
        <w:rPr>
          <w:rFonts w:ascii="Cambria" w:hAnsi="Cambria"/>
          <w:b/>
          <w:bCs/>
        </w:rPr>
      </w:pPr>
      <w:r w:rsidRPr="001C0608">
        <w:rPr>
          <w:rFonts w:ascii="Cambria" w:hAnsi="Cambria"/>
          <w:b/>
          <w:bCs/>
        </w:rPr>
        <w:t>Parking</w:t>
      </w:r>
    </w:p>
    <w:p w14:paraId="5E327E7F" w14:textId="77777777" w:rsidR="003372EB" w:rsidRDefault="003372EB" w:rsidP="003372EB">
      <w:pPr>
        <w:spacing w:line="240" w:lineRule="auto"/>
        <w:contextualSpacing/>
        <w:rPr>
          <w:rFonts w:ascii="Cambria" w:hAnsi="Cambria"/>
        </w:rPr>
      </w:pPr>
      <w:r>
        <w:rPr>
          <w:rFonts w:ascii="Cambria" w:hAnsi="Cambria"/>
        </w:rPr>
        <w:t xml:space="preserve">The </w:t>
      </w:r>
      <w:proofErr w:type="gramStart"/>
      <w:r>
        <w:rPr>
          <w:rFonts w:ascii="Cambria" w:hAnsi="Cambria"/>
        </w:rPr>
        <w:t>Sergeants</w:t>
      </w:r>
      <w:proofErr w:type="gramEnd"/>
      <w:r>
        <w:rPr>
          <w:rFonts w:ascii="Cambria" w:hAnsi="Cambria"/>
        </w:rPr>
        <w:t xml:space="preserve"> parking rate for a monthly or reserved pass shall now be as follows:</w:t>
      </w:r>
    </w:p>
    <w:p w14:paraId="522BA700" w14:textId="77777777" w:rsidR="003372EB" w:rsidRDefault="003372EB" w:rsidP="003372EB">
      <w:pPr>
        <w:spacing w:line="240" w:lineRule="auto"/>
        <w:contextualSpacing/>
        <w:rPr>
          <w:rFonts w:ascii="Cambria" w:hAnsi="Cambria"/>
        </w:rPr>
      </w:pPr>
    </w:p>
    <w:tbl>
      <w:tblPr>
        <w:tblStyle w:val="TableGrid"/>
        <w:tblW w:w="0" w:type="auto"/>
        <w:tblLook w:val="04A0" w:firstRow="1" w:lastRow="0" w:firstColumn="1" w:lastColumn="0" w:noHBand="0" w:noVBand="1"/>
      </w:tblPr>
      <w:tblGrid>
        <w:gridCol w:w="2337"/>
        <w:gridCol w:w="2337"/>
        <w:gridCol w:w="2338"/>
        <w:gridCol w:w="2338"/>
      </w:tblGrid>
      <w:tr w:rsidR="003372EB" w14:paraId="77DCA9AA" w14:textId="77777777" w:rsidTr="00F0793E">
        <w:tc>
          <w:tcPr>
            <w:tcW w:w="2337" w:type="dxa"/>
            <w:tcBorders>
              <w:top w:val="nil"/>
              <w:left w:val="nil"/>
            </w:tcBorders>
          </w:tcPr>
          <w:p w14:paraId="6FB2952C" w14:textId="77777777" w:rsidR="003372EB" w:rsidRDefault="003372EB" w:rsidP="00F0793E">
            <w:pPr>
              <w:contextualSpacing/>
              <w:rPr>
                <w:rFonts w:ascii="Cambria" w:hAnsi="Cambria"/>
              </w:rPr>
            </w:pPr>
          </w:p>
        </w:tc>
        <w:tc>
          <w:tcPr>
            <w:tcW w:w="2337" w:type="dxa"/>
          </w:tcPr>
          <w:p w14:paraId="3111A196" w14:textId="77777777" w:rsidR="003372EB" w:rsidRPr="001E2EB8" w:rsidRDefault="003372EB" w:rsidP="00F0793E">
            <w:pPr>
              <w:contextualSpacing/>
              <w:rPr>
                <w:rFonts w:ascii="Cambria" w:hAnsi="Cambria"/>
                <w:b/>
                <w:bCs/>
              </w:rPr>
            </w:pPr>
            <w:r w:rsidRPr="001E2EB8">
              <w:rPr>
                <w:rFonts w:ascii="Cambria" w:hAnsi="Cambria"/>
                <w:b/>
                <w:bCs/>
              </w:rPr>
              <w:t>On Campus</w:t>
            </w:r>
          </w:p>
        </w:tc>
        <w:tc>
          <w:tcPr>
            <w:tcW w:w="2338" w:type="dxa"/>
          </w:tcPr>
          <w:p w14:paraId="0C70C0DA" w14:textId="77777777" w:rsidR="003372EB" w:rsidRPr="001E2EB8" w:rsidRDefault="003372EB" w:rsidP="00F0793E">
            <w:pPr>
              <w:contextualSpacing/>
              <w:rPr>
                <w:rFonts w:ascii="Cambria" w:hAnsi="Cambria"/>
                <w:b/>
                <w:bCs/>
              </w:rPr>
            </w:pPr>
            <w:r w:rsidRPr="001E2EB8">
              <w:rPr>
                <w:rFonts w:ascii="Cambria" w:hAnsi="Cambria"/>
                <w:b/>
                <w:bCs/>
              </w:rPr>
              <w:t>Reserved</w:t>
            </w:r>
          </w:p>
        </w:tc>
        <w:tc>
          <w:tcPr>
            <w:tcW w:w="2338" w:type="dxa"/>
          </w:tcPr>
          <w:p w14:paraId="5CA31800" w14:textId="77777777" w:rsidR="003372EB" w:rsidRPr="001E2EB8" w:rsidRDefault="003372EB" w:rsidP="00F0793E">
            <w:pPr>
              <w:contextualSpacing/>
              <w:rPr>
                <w:rFonts w:ascii="Cambria" w:hAnsi="Cambria"/>
                <w:b/>
                <w:bCs/>
              </w:rPr>
            </w:pPr>
            <w:r w:rsidRPr="001E2EB8">
              <w:rPr>
                <w:rFonts w:ascii="Cambria" w:hAnsi="Cambria"/>
                <w:b/>
                <w:bCs/>
              </w:rPr>
              <w:t>Payment Options</w:t>
            </w:r>
          </w:p>
        </w:tc>
      </w:tr>
      <w:tr w:rsidR="003372EB" w14:paraId="75D1F94B" w14:textId="77777777" w:rsidTr="00F0793E">
        <w:tc>
          <w:tcPr>
            <w:tcW w:w="2337" w:type="dxa"/>
          </w:tcPr>
          <w:p w14:paraId="6765CDA6" w14:textId="77777777" w:rsidR="003372EB" w:rsidRPr="001E2EB8" w:rsidRDefault="003372EB" w:rsidP="00F0793E">
            <w:pPr>
              <w:contextualSpacing/>
              <w:rPr>
                <w:rFonts w:ascii="Cambria" w:hAnsi="Cambria"/>
                <w:b/>
                <w:bCs/>
              </w:rPr>
            </w:pPr>
            <w:r w:rsidRPr="001E2EB8">
              <w:rPr>
                <w:rFonts w:ascii="Cambria" w:hAnsi="Cambria"/>
                <w:b/>
                <w:bCs/>
              </w:rPr>
              <w:t>Monthly</w:t>
            </w:r>
          </w:p>
        </w:tc>
        <w:tc>
          <w:tcPr>
            <w:tcW w:w="2337" w:type="dxa"/>
          </w:tcPr>
          <w:p w14:paraId="478F52EA" w14:textId="77777777" w:rsidR="003372EB" w:rsidRDefault="003372EB" w:rsidP="00F0793E">
            <w:pPr>
              <w:contextualSpacing/>
              <w:rPr>
                <w:rFonts w:ascii="Cambria" w:hAnsi="Cambria"/>
              </w:rPr>
            </w:pPr>
            <w:r>
              <w:rPr>
                <w:rFonts w:ascii="Cambria" w:hAnsi="Cambria"/>
              </w:rPr>
              <w:t>$122</w:t>
            </w:r>
          </w:p>
        </w:tc>
        <w:tc>
          <w:tcPr>
            <w:tcW w:w="2338" w:type="dxa"/>
          </w:tcPr>
          <w:p w14:paraId="606CAD47" w14:textId="77777777" w:rsidR="003372EB" w:rsidRDefault="003372EB" w:rsidP="00F0793E">
            <w:pPr>
              <w:contextualSpacing/>
              <w:rPr>
                <w:rFonts w:ascii="Cambria" w:hAnsi="Cambria"/>
              </w:rPr>
            </w:pPr>
            <w:r>
              <w:rPr>
                <w:rFonts w:ascii="Cambria" w:hAnsi="Cambria"/>
              </w:rPr>
              <w:t>$300</w:t>
            </w:r>
          </w:p>
        </w:tc>
        <w:tc>
          <w:tcPr>
            <w:tcW w:w="2338" w:type="dxa"/>
          </w:tcPr>
          <w:p w14:paraId="44406791" w14:textId="77777777" w:rsidR="003372EB" w:rsidRDefault="003372EB" w:rsidP="00F0793E">
            <w:pPr>
              <w:contextualSpacing/>
              <w:rPr>
                <w:rFonts w:ascii="Cambria" w:hAnsi="Cambria"/>
              </w:rPr>
            </w:pPr>
            <w:r>
              <w:rPr>
                <w:rFonts w:ascii="Cambria" w:hAnsi="Cambria"/>
              </w:rPr>
              <w:t>Payroll Deduction</w:t>
            </w:r>
          </w:p>
        </w:tc>
      </w:tr>
    </w:tbl>
    <w:p w14:paraId="1355A75D" w14:textId="77777777" w:rsidR="003372EB" w:rsidRPr="001E2EB8" w:rsidRDefault="003372EB" w:rsidP="003372EB">
      <w:pPr>
        <w:spacing w:line="240" w:lineRule="auto"/>
        <w:contextualSpacing/>
        <w:rPr>
          <w:rFonts w:ascii="Cambria" w:hAnsi="Cambria"/>
        </w:rPr>
      </w:pPr>
    </w:p>
    <w:p w14:paraId="58024AAA" w14:textId="77777777" w:rsidR="003372EB" w:rsidRDefault="003372EB" w:rsidP="003372EB">
      <w:pPr>
        <w:spacing w:line="240" w:lineRule="auto"/>
        <w:contextualSpacing/>
        <w:rPr>
          <w:rFonts w:ascii="Cambria" w:hAnsi="Cambria"/>
        </w:rPr>
      </w:pPr>
      <w:r w:rsidRPr="003F5044">
        <w:rPr>
          <w:rFonts w:ascii="Cambria" w:hAnsi="Cambria"/>
        </w:rPr>
        <w:t xml:space="preserve">The parties </w:t>
      </w:r>
      <w:r>
        <w:rPr>
          <w:rFonts w:ascii="Cambria" w:hAnsi="Cambria"/>
        </w:rPr>
        <w:t>also agreed to a rate adjustment cap which limits the increase a member may experience in their parking rate. Increases, if required, will not exceed the across the board increase experienced during the calendar year. This will take effect July 1, 2025.</w:t>
      </w:r>
    </w:p>
    <w:p w14:paraId="3633FA81" w14:textId="77777777" w:rsidR="00BC5135" w:rsidRDefault="00BC5135" w:rsidP="001B15A3">
      <w:pPr>
        <w:spacing w:line="240" w:lineRule="auto"/>
        <w:contextualSpacing/>
        <w:rPr>
          <w:rFonts w:ascii="Cambria" w:hAnsi="Cambria"/>
        </w:rPr>
      </w:pPr>
    </w:p>
    <w:p w14:paraId="2DA9B21F" w14:textId="77777777" w:rsidR="00BC5135" w:rsidRDefault="00BC5135" w:rsidP="001B15A3">
      <w:pPr>
        <w:spacing w:line="240" w:lineRule="auto"/>
        <w:contextualSpacing/>
        <w:rPr>
          <w:rFonts w:ascii="Cambria" w:hAnsi="Cambria"/>
        </w:rPr>
      </w:pPr>
    </w:p>
    <w:p w14:paraId="6BF9D1A0" w14:textId="77777777" w:rsidR="001E62D1" w:rsidRPr="001C0608" w:rsidRDefault="001E62D1" w:rsidP="001E62D1">
      <w:pPr>
        <w:spacing w:line="240" w:lineRule="auto"/>
        <w:contextualSpacing/>
        <w:rPr>
          <w:rFonts w:ascii="Cambria" w:hAnsi="Cambria"/>
          <w:b/>
          <w:bCs/>
          <w:color w:val="005A8B"/>
          <w:sz w:val="28"/>
          <w:szCs w:val="28"/>
        </w:rPr>
      </w:pPr>
      <w:r w:rsidRPr="001C0608">
        <w:rPr>
          <w:rFonts w:ascii="Cambria" w:hAnsi="Cambria"/>
          <w:b/>
          <w:bCs/>
          <w:color w:val="005A8B"/>
          <w:sz w:val="28"/>
          <w:szCs w:val="28"/>
        </w:rPr>
        <w:lastRenderedPageBreak/>
        <w:t xml:space="preserve">Non-Economic Provisions </w:t>
      </w:r>
    </w:p>
    <w:p w14:paraId="69EBE574" w14:textId="77777777" w:rsidR="001E62D1" w:rsidRDefault="001E62D1" w:rsidP="001E62D1">
      <w:pPr>
        <w:spacing w:line="240" w:lineRule="auto"/>
        <w:contextualSpacing/>
        <w:rPr>
          <w:rFonts w:ascii="Cambria" w:hAnsi="Cambria"/>
          <w:b/>
          <w:bCs/>
        </w:rPr>
      </w:pPr>
    </w:p>
    <w:p w14:paraId="19CE7693" w14:textId="77777777" w:rsidR="001E62D1" w:rsidRPr="001C0608" w:rsidRDefault="001E62D1" w:rsidP="001E62D1">
      <w:pPr>
        <w:spacing w:line="240" w:lineRule="auto"/>
        <w:contextualSpacing/>
        <w:rPr>
          <w:rFonts w:ascii="Cambria" w:hAnsi="Cambria"/>
          <w:b/>
          <w:bCs/>
        </w:rPr>
      </w:pPr>
      <w:r w:rsidRPr="001C0608">
        <w:rPr>
          <w:rFonts w:ascii="Cambria" w:hAnsi="Cambria"/>
          <w:b/>
          <w:bCs/>
        </w:rPr>
        <w:t xml:space="preserve">Non-Discrimination &amp; Affirmative Action </w:t>
      </w:r>
    </w:p>
    <w:p w14:paraId="20A79A4E" w14:textId="77777777" w:rsidR="001E62D1" w:rsidRDefault="001E62D1" w:rsidP="001E62D1">
      <w:pPr>
        <w:spacing w:line="240" w:lineRule="auto"/>
        <w:contextualSpacing/>
        <w:rPr>
          <w:rFonts w:ascii="Cambria" w:hAnsi="Cambria"/>
        </w:rPr>
      </w:pPr>
      <w:r>
        <w:rPr>
          <w:rFonts w:ascii="Cambria" w:hAnsi="Cambria"/>
        </w:rPr>
        <w:t xml:space="preserve">Updated the language whereby the parties will not need to update the language every round. Should the state or federal laws change, this language will capture and support those changes. </w:t>
      </w:r>
    </w:p>
    <w:p w14:paraId="58D75EF4" w14:textId="77777777" w:rsidR="001E62D1" w:rsidRDefault="001E62D1" w:rsidP="001E62D1">
      <w:pPr>
        <w:spacing w:line="240" w:lineRule="auto"/>
        <w:contextualSpacing/>
        <w:rPr>
          <w:rFonts w:ascii="Cambria" w:hAnsi="Cambria"/>
        </w:rPr>
      </w:pPr>
    </w:p>
    <w:p w14:paraId="7441AADA" w14:textId="7DB9DE62" w:rsidR="003372EB" w:rsidRPr="003372EB" w:rsidRDefault="003372EB" w:rsidP="001E62D1">
      <w:pPr>
        <w:spacing w:line="240" w:lineRule="auto"/>
        <w:contextualSpacing/>
        <w:rPr>
          <w:rFonts w:ascii="Cambria" w:hAnsi="Cambria"/>
          <w:b/>
          <w:bCs/>
        </w:rPr>
      </w:pPr>
      <w:r w:rsidRPr="003372EB">
        <w:rPr>
          <w:rFonts w:ascii="Cambria" w:hAnsi="Cambria"/>
          <w:b/>
          <w:bCs/>
        </w:rPr>
        <w:t>Physical Fitness</w:t>
      </w:r>
    </w:p>
    <w:p w14:paraId="5925DF63" w14:textId="2A80AFAA" w:rsidR="003372EB" w:rsidRDefault="003372EB" w:rsidP="001E62D1">
      <w:pPr>
        <w:spacing w:line="240" w:lineRule="auto"/>
        <w:contextualSpacing/>
        <w:rPr>
          <w:rFonts w:ascii="Cambria" w:hAnsi="Cambria"/>
        </w:rPr>
      </w:pPr>
      <w:r>
        <w:rPr>
          <w:rFonts w:ascii="Cambria" w:hAnsi="Cambria"/>
        </w:rPr>
        <w:t>In recognition of the importance of physical fitness, work-life balance, and employee wellness, no employee shall be mandated to work any overtime assigned while utilizing any university gym facility, including the police gym facility, except for emergency circumstances.</w:t>
      </w:r>
    </w:p>
    <w:p w14:paraId="3FD274B0" w14:textId="77777777" w:rsidR="003372EB" w:rsidRDefault="003372EB" w:rsidP="001E62D1">
      <w:pPr>
        <w:spacing w:line="240" w:lineRule="auto"/>
        <w:contextualSpacing/>
        <w:rPr>
          <w:rFonts w:ascii="Cambria" w:hAnsi="Cambria"/>
        </w:rPr>
      </w:pPr>
    </w:p>
    <w:p w14:paraId="59628E75" w14:textId="77777777" w:rsidR="001E62D1" w:rsidRPr="001C0608" w:rsidRDefault="001E62D1" w:rsidP="001E62D1">
      <w:pPr>
        <w:spacing w:line="240" w:lineRule="auto"/>
        <w:contextualSpacing/>
        <w:rPr>
          <w:rFonts w:ascii="Cambria" w:hAnsi="Cambria"/>
          <w:b/>
          <w:bCs/>
        </w:rPr>
      </w:pPr>
      <w:r w:rsidRPr="001C0608">
        <w:rPr>
          <w:rFonts w:ascii="Cambria" w:hAnsi="Cambria"/>
          <w:b/>
          <w:bCs/>
        </w:rPr>
        <w:t xml:space="preserve">Leaves </w:t>
      </w:r>
    </w:p>
    <w:p w14:paraId="34FFF3D9" w14:textId="77777777" w:rsidR="001E62D1" w:rsidRDefault="001E62D1" w:rsidP="001E62D1">
      <w:pPr>
        <w:spacing w:line="240" w:lineRule="auto"/>
        <w:contextualSpacing/>
        <w:rPr>
          <w:rFonts w:ascii="Cambria" w:hAnsi="Cambria"/>
        </w:rPr>
      </w:pPr>
      <w:r>
        <w:rPr>
          <w:rFonts w:ascii="Cambria" w:hAnsi="Cambria"/>
        </w:rPr>
        <w:t xml:space="preserve">Updated the Family and Medical Leave Act reference to include Paid Family Medical Leave. </w:t>
      </w:r>
    </w:p>
    <w:p w14:paraId="5A3AA166" w14:textId="77777777" w:rsidR="001E62D1" w:rsidRDefault="001E62D1" w:rsidP="001E62D1">
      <w:pPr>
        <w:spacing w:line="240" w:lineRule="auto"/>
        <w:contextualSpacing/>
        <w:rPr>
          <w:rFonts w:ascii="Cambria" w:hAnsi="Cambria"/>
        </w:rPr>
      </w:pPr>
    </w:p>
    <w:p w14:paraId="164EB088" w14:textId="77777777" w:rsidR="001E62D1" w:rsidRDefault="001E62D1" w:rsidP="001E62D1">
      <w:pPr>
        <w:spacing w:line="240" w:lineRule="auto"/>
        <w:contextualSpacing/>
        <w:rPr>
          <w:rFonts w:ascii="Cambria" w:hAnsi="Cambria"/>
        </w:rPr>
      </w:pPr>
      <w:r>
        <w:rPr>
          <w:rFonts w:ascii="Cambria" w:hAnsi="Cambria"/>
        </w:rPr>
        <w:t xml:space="preserve">Added a new section which outlines the state benefit employees who are victims of abuse are entitled to. This state protected </w:t>
      </w:r>
      <w:proofErr w:type="gramStart"/>
      <w:r>
        <w:rPr>
          <w:rFonts w:ascii="Cambria" w:hAnsi="Cambria"/>
        </w:rPr>
        <w:t>leave that</w:t>
      </w:r>
      <w:proofErr w:type="gramEnd"/>
      <w:r>
        <w:rPr>
          <w:rFonts w:ascii="Cambria" w:hAnsi="Cambria"/>
        </w:rPr>
        <w:t xml:space="preserve"> can be found in all other UMass Boston collective bargaining agreements. </w:t>
      </w:r>
    </w:p>
    <w:p w14:paraId="63D70927" w14:textId="77777777" w:rsidR="001E62D1" w:rsidRDefault="001E62D1" w:rsidP="001E62D1">
      <w:pPr>
        <w:spacing w:line="240" w:lineRule="auto"/>
        <w:contextualSpacing/>
        <w:rPr>
          <w:rFonts w:ascii="Cambria" w:hAnsi="Cambria"/>
        </w:rPr>
      </w:pPr>
    </w:p>
    <w:p w14:paraId="2F37FE9B" w14:textId="77777777" w:rsidR="003372EB" w:rsidRPr="002B64A4" w:rsidRDefault="003372EB" w:rsidP="003372EB">
      <w:pPr>
        <w:spacing w:line="240" w:lineRule="auto"/>
        <w:contextualSpacing/>
        <w:rPr>
          <w:rFonts w:ascii="Cambria" w:hAnsi="Cambria"/>
          <w:b/>
          <w:bCs/>
        </w:rPr>
      </w:pPr>
      <w:r w:rsidRPr="002B64A4">
        <w:rPr>
          <w:rFonts w:ascii="Cambria" w:hAnsi="Cambria"/>
          <w:b/>
          <w:bCs/>
        </w:rPr>
        <w:t>Grievance Procedure</w:t>
      </w:r>
    </w:p>
    <w:p w14:paraId="3ADB0546" w14:textId="38E80BEC" w:rsidR="003372EB" w:rsidRDefault="003372EB" w:rsidP="001E62D1">
      <w:pPr>
        <w:spacing w:line="240" w:lineRule="auto"/>
        <w:contextualSpacing/>
        <w:rPr>
          <w:rFonts w:ascii="Cambria" w:hAnsi="Cambria"/>
        </w:rPr>
      </w:pPr>
      <w:r>
        <w:rPr>
          <w:rFonts w:ascii="Cambria" w:hAnsi="Cambria"/>
        </w:rPr>
        <w:t xml:space="preserve">The parties agreed to modify step 1 of the grievance procedure to provide more flexibility around the level an initial matter can be filed. The goal of the new language is to make sure the appropriate level is hearing the matter </w:t>
      </w:r>
      <w:proofErr w:type="gramStart"/>
      <w:r>
        <w:rPr>
          <w:rFonts w:ascii="Cambria" w:hAnsi="Cambria"/>
        </w:rPr>
        <w:t>in order to</w:t>
      </w:r>
      <w:proofErr w:type="gramEnd"/>
      <w:r>
        <w:rPr>
          <w:rFonts w:ascii="Cambria" w:hAnsi="Cambria"/>
        </w:rPr>
        <w:t xml:space="preserve"> engage in more meaningful conflict resolution. </w:t>
      </w:r>
    </w:p>
    <w:p w14:paraId="0D2DC054" w14:textId="77777777" w:rsidR="003372EB" w:rsidRDefault="003372EB" w:rsidP="001E62D1">
      <w:pPr>
        <w:spacing w:line="240" w:lineRule="auto"/>
        <w:contextualSpacing/>
        <w:rPr>
          <w:rFonts w:ascii="Cambria" w:hAnsi="Cambria"/>
        </w:rPr>
      </w:pPr>
    </w:p>
    <w:p w14:paraId="4B86FC67" w14:textId="77777777" w:rsidR="001E62D1" w:rsidRPr="001C0608" w:rsidRDefault="001E62D1" w:rsidP="001E62D1">
      <w:pPr>
        <w:spacing w:line="240" w:lineRule="auto"/>
        <w:contextualSpacing/>
        <w:rPr>
          <w:rFonts w:ascii="Cambria" w:hAnsi="Cambria"/>
          <w:b/>
          <w:bCs/>
        </w:rPr>
      </w:pPr>
      <w:r w:rsidRPr="001C0608">
        <w:rPr>
          <w:rFonts w:ascii="Cambria" w:hAnsi="Cambria"/>
          <w:b/>
          <w:bCs/>
        </w:rPr>
        <w:t xml:space="preserve">Employee Evaluations </w:t>
      </w:r>
    </w:p>
    <w:p w14:paraId="148DD017" w14:textId="77777777" w:rsidR="001E62D1" w:rsidRDefault="001E62D1" w:rsidP="001E62D1">
      <w:pPr>
        <w:spacing w:line="240" w:lineRule="auto"/>
        <w:contextualSpacing/>
        <w:rPr>
          <w:rFonts w:ascii="Cambria" w:hAnsi="Cambria"/>
        </w:rPr>
      </w:pPr>
      <w:r>
        <w:rPr>
          <w:rFonts w:ascii="Cambria" w:hAnsi="Cambria"/>
        </w:rPr>
        <w:t xml:space="preserve">This provision now allows for evaluations to be given and completed in an electronic format. </w:t>
      </w:r>
    </w:p>
    <w:p w14:paraId="54FF94BC" w14:textId="77777777" w:rsidR="001E62D1" w:rsidRPr="001B15A3" w:rsidRDefault="001E62D1" w:rsidP="001B15A3">
      <w:pPr>
        <w:spacing w:line="240" w:lineRule="auto"/>
        <w:contextualSpacing/>
        <w:rPr>
          <w:rFonts w:ascii="Cambria" w:hAnsi="Cambria"/>
        </w:rPr>
      </w:pPr>
    </w:p>
    <w:sectPr w:rsidR="001E62D1" w:rsidRPr="001B15A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C2F0D" w14:textId="77777777" w:rsidR="003372EB" w:rsidRDefault="003372EB" w:rsidP="003372EB">
      <w:pPr>
        <w:spacing w:after="0" w:line="240" w:lineRule="auto"/>
      </w:pPr>
      <w:r>
        <w:separator/>
      </w:r>
    </w:p>
  </w:endnote>
  <w:endnote w:type="continuationSeparator" w:id="0">
    <w:p w14:paraId="0E7E9CA0" w14:textId="77777777" w:rsidR="003372EB" w:rsidRDefault="003372EB" w:rsidP="00337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1016307899"/>
      <w:docPartObj>
        <w:docPartGallery w:val="Page Numbers (Bottom of Page)"/>
        <w:docPartUnique/>
      </w:docPartObj>
    </w:sdtPr>
    <w:sdtEndPr>
      <w:rPr>
        <w:noProof/>
      </w:rPr>
    </w:sdtEndPr>
    <w:sdtContent>
      <w:p w14:paraId="25D36546" w14:textId="085A9880" w:rsidR="003372EB" w:rsidRPr="003372EB" w:rsidRDefault="003372EB">
        <w:pPr>
          <w:pStyle w:val="Footer"/>
          <w:jc w:val="center"/>
          <w:rPr>
            <w:rFonts w:ascii="Cambria" w:hAnsi="Cambria"/>
          </w:rPr>
        </w:pPr>
        <w:r w:rsidRPr="003372EB">
          <w:rPr>
            <w:rFonts w:ascii="Cambria" w:hAnsi="Cambria"/>
          </w:rPr>
          <w:fldChar w:fldCharType="begin"/>
        </w:r>
        <w:r w:rsidRPr="003372EB">
          <w:rPr>
            <w:rFonts w:ascii="Cambria" w:hAnsi="Cambria"/>
          </w:rPr>
          <w:instrText xml:space="preserve"> PAGE   \* MERGEFORMAT </w:instrText>
        </w:r>
        <w:r w:rsidRPr="003372EB">
          <w:rPr>
            <w:rFonts w:ascii="Cambria" w:hAnsi="Cambria"/>
          </w:rPr>
          <w:fldChar w:fldCharType="separate"/>
        </w:r>
        <w:r w:rsidRPr="003372EB">
          <w:rPr>
            <w:rFonts w:ascii="Cambria" w:hAnsi="Cambria"/>
            <w:noProof/>
          </w:rPr>
          <w:t>2</w:t>
        </w:r>
        <w:r w:rsidRPr="003372EB">
          <w:rPr>
            <w:rFonts w:ascii="Cambria" w:hAnsi="Cambria"/>
            <w:noProof/>
          </w:rPr>
          <w:fldChar w:fldCharType="end"/>
        </w:r>
      </w:p>
    </w:sdtContent>
  </w:sdt>
  <w:p w14:paraId="315C4F1E" w14:textId="77777777" w:rsidR="003372EB" w:rsidRPr="003372EB" w:rsidRDefault="003372EB">
    <w:pPr>
      <w:pStyle w:val="Footer"/>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E4A92" w14:textId="77777777" w:rsidR="003372EB" w:rsidRDefault="003372EB" w:rsidP="003372EB">
      <w:pPr>
        <w:spacing w:after="0" w:line="240" w:lineRule="auto"/>
      </w:pPr>
      <w:r>
        <w:separator/>
      </w:r>
    </w:p>
  </w:footnote>
  <w:footnote w:type="continuationSeparator" w:id="0">
    <w:p w14:paraId="266EA516" w14:textId="77777777" w:rsidR="003372EB" w:rsidRDefault="003372EB" w:rsidP="003372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16"/>
    <w:rsid w:val="000871CF"/>
    <w:rsid w:val="00092BD3"/>
    <w:rsid w:val="001B15A3"/>
    <w:rsid w:val="001E3152"/>
    <w:rsid w:val="001E62D1"/>
    <w:rsid w:val="003372EB"/>
    <w:rsid w:val="00485E16"/>
    <w:rsid w:val="00555615"/>
    <w:rsid w:val="00BC5135"/>
    <w:rsid w:val="00E03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A2C46"/>
  <w15:chartTrackingRefBased/>
  <w15:docId w15:val="{C180B030-B771-4989-B521-5D0FB0FE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E16"/>
  </w:style>
  <w:style w:type="paragraph" w:styleId="Heading1">
    <w:name w:val="heading 1"/>
    <w:basedOn w:val="Normal"/>
    <w:next w:val="Normal"/>
    <w:link w:val="Heading1Char"/>
    <w:uiPriority w:val="9"/>
    <w:qFormat/>
    <w:rsid w:val="00485E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E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E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E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E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E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E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E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E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E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E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E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E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E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E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E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E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E16"/>
    <w:rPr>
      <w:rFonts w:eastAsiaTheme="majorEastAsia" w:cstheme="majorBidi"/>
      <w:color w:val="272727" w:themeColor="text1" w:themeTint="D8"/>
    </w:rPr>
  </w:style>
  <w:style w:type="paragraph" w:styleId="Title">
    <w:name w:val="Title"/>
    <w:basedOn w:val="Normal"/>
    <w:next w:val="Normal"/>
    <w:link w:val="TitleChar"/>
    <w:uiPriority w:val="10"/>
    <w:qFormat/>
    <w:rsid w:val="00485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E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E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E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E16"/>
    <w:pPr>
      <w:spacing w:before="160"/>
      <w:jc w:val="center"/>
    </w:pPr>
    <w:rPr>
      <w:i/>
      <w:iCs/>
      <w:color w:val="404040" w:themeColor="text1" w:themeTint="BF"/>
    </w:rPr>
  </w:style>
  <w:style w:type="character" w:customStyle="1" w:styleId="QuoteChar">
    <w:name w:val="Quote Char"/>
    <w:basedOn w:val="DefaultParagraphFont"/>
    <w:link w:val="Quote"/>
    <w:uiPriority w:val="29"/>
    <w:rsid w:val="00485E16"/>
    <w:rPr>
      <w:i/>
      <w:iCs/>
      <w:color w:val="404040" w:themeColor="text1" w:themeTint="BF"/>
    </w:rPr>
  </w:style>
  <w:style w:type="paragraph" w:styleId="ListParagraph">
    <w:name w:val="List Paragraph"/>
    <w:basedOn w:val="Normal"/>
    <w:uiPriority w:val="34"/>
    <w:qFormat/>
    <w:rsid w:val="00485E16"/>
    <w:pPr>
      <w:ind w:left="720"/>
      <w:contextualSpacing/>
    </w:pPr>
  </w:style>
  <w:style w:type="character" w:styleId="IntenseEmphasis">
    <w:name w:val="Intense Emphasis"/>
    <w:basedOn w:val="DefaultParagraphFont"/>
    <w:uiPriority w:val="21"/>
    <w:qFormat/>
    <w:rsid w:val="00485E16"/>
    <w:rPr>
      <w:i/>
      <w:iCs/>
      <w:color w:val="0F4761" w:themeColor="accent1" w:themeShade="BF"/>
    </w:rPr>
  </w:style>
  <w:style w:type="paragraph" w:styleId="IntenseQuote">
    <w:name w:val="Intense Quote"/>
    <w:basedOn w:val="Normal"/>
    <w:next w:val="Normal"/>
    <w:link w:val="IntenseQuoteChar"/>
    <w:uiPriority w:val="30"/>
    <w:qFormat/>
    <w:rsid w:val="00485E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E16"/>
    <w:rPr>
      <w:i/>
      <w:iCs/>
      <w:color w:val="0F4761" w:themeColor="accent1" w:themeShade="BF"/>
    </w:rPr>
  </w:style>
  <w:style w:type="character" w:styleId="IntenseReference">
    <w:name w:val="Intense Reference"/>
    <w:basedOn w:val="DefaultParagraphFont"/>
    <w:uiPriority w:val="32"/>
    <w:qFormat/>
    <w:rsid w:val="00485E16"/>
    <w:rPr>
      <w:b/>
      <w:bCs/>
      <w:smallCaps/>
      <w:color w:val="0F4761" w:themeColor="accent1" w:themeShade="BF"/>
      <w:spacing w:val="5"/>
    </w:rPr>
  </w:style>
  <w:style w:type="table" w:styleId="TableGrid">
    <w:name w:val="Table Grid"/>
    <w:basedOn w:val="TableNormal"/>
    <w:uiPriority w:val="39"/>
    <w:rsid w:val="00485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7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2EB"/>
  </w:style>
  <w:style w:type="paragraph" w:styleId="Footer">
    <w:name w:val="footer"/>
    <w:basedOn w:val="Normal"/>
    <w:link w:val="FooterChar"/>
    <w:uiPriority w:val="99"/>
    <w:unhideWhenUsed/>
    <w:rsid w:val="00337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4CAAFA20B174C9D092CEDE2B75F72" ma:contentTypeVersion="19" ma:contentTypeDescription="Create a new document." ma:contentTypeScope="" ma:versionID="50cfcd3360f04827fed98f9209a86347">
  <xsd:schema xmlns:xsd="http://www.w3.org/2001/XMLSchema" xmlns:xs="http://www.w3.org/2001/XMLSchema" xmlns:p="http://schemas.microsoft.com/office/2006/metadata/properties" xmlns:ns1="http://schemas.microsoft.com/sharepoint/v3" xmlns:ns2="13a59ec9-72ae-4468-8b69-a6fc079d6534" xmlns:ns3="f6e3e907-bc34-45f2-9bd0-9583dc1f18f1" targetNamespace="http://schemas.microsoft.com/office/2006/metadata/properties" ma:root="true" ma:fieldsID="46b79bf550a7fdc90112792ceb966ee5" ns1:_="" ns2:_="" ns3:_="">
    <xsd:import namespace="http://schemas.microsoft.com/sharepoint/v3"/>
    <xsd:import namespace="13a59ec9-72ae-4468-8b69-a6fc079d6534"/>
    <xsd:import namespace="f6e3e907-bc34-45f2-9bd0-9583dc1f18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59ec9-72ae-4468-8b69-a6fc079d6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bb1ab42-7277-4699-bffd-c4f8fd762ea1"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e3e907-bc34-45f2-9bd0-9583dc1f18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964832-bc18-42a7-bfab-f3f523e046bb}" ma:internalName="TaxCatchAll" ma:showField="CatchAllData" ma:web="f6e3e907-bc34-45f2-9bd0-9583dc1f1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3a59ec9-72ae-4468-8b69-a6fc079d6534">
      <Terms xmlns="http://schemas.microsoft.com/office/infopath/2007/PartnerControls"/>
    </lcf76f155ced4ddcb4097134ff3c332f>
    <TaxCatchAll xmlns="f6e3e907-bc34-45f2-9bd0-9583dc1f18f1"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61EE01-B581-4664-8E32-15EC0A175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a59ec9-72ae-4468-8b69-a6fc079d6534"/>
    <ds:schemaRef ds:uri="f6e3e907-bc34-45f2-9bd0-9583dc1f1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34D83-1C83-4E56-9965-8EB0DB543081}">
  <ds:schemaRefs>
    <ds:schemaRef ds:uri="f6e3e907-bc34-45f2-9bd0-9583dc1f18f1"/>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dcmitype/"/>
    <ds:schemaRef ds:uri="http://purl.org/dc/elements/1.1/"/>
    <ds:schemaRef ds:uri="http://schemas.microsoft.com/sharepoint/v3"/>
    <ds:schemaRef ds:uri="13a59ec9-72ae-4468-8b69-a6fc079d6534"/>
    <ds:schemaRef ds:uri="http://www.w3.org/XML/1998/namespace"/>
  </ds:schemaRefs>
</ds:datastoreItem>
</file>

<file path=customXml/itemProps3.xml><?xml version="1.0" encoding="utf-8"?>
<ds:datastoreItem xmlns:ds="http://schemas.openxmlformats.org/officeDocument/2006/customXml" ds:itemID="{ADC1D329-A806-4F07-B7F3-AB49E23B97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 Coddington</dc:creator>
  <cp:keywords/>
  <dc:description/>
  <cp:lastModifiedBy>Sophie K Coddington</cp:lastModifiedBy>
  <cp:revision>2</cp:revision>
  <dcterms:created xsi:type="dcterms:W3CDTF">2025-07-01T13:43:00Z</dcterms:created>
  <dcterms:modified xsi:type="dcterms:W3CDTF">2025-07-03T14:37:00Z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0x01010022B4CAAFA20B174C9D092CEDE2B75F72</vt:lpwstr>
  </property>
  <property fmtid="{D5CDD505-2E9C-101B-9397-08002B2CF9AE}" pid="3" name="MediaServiceImageTags">
    <vt:lpwstr/>
  </property>
</Properties>
</file>