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3CD9" w14:textId="4B7E59B7" w:rsidR="00E04D49" w:rsidRPr="0001455C" w:rsidRDefault="00E04D49" w:rsidP="00E04D49">
      <w:pPr>
        <w:spacing w:line="240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Graduate Employee Organization (GEO)</w:t>
      </w:r>
      <w:r w:rsidRPr="0001455C">
        <w:rPr>
          <w:rFonts w:ascii="Cambria" w:hAnsi="Cambria"/>
          <w:b/>
          <w:bCs/>
        </w:rPr>
        <w:t xml:space="preserve"> Collective Bargaining Agreement</w:t>
      </w:r>
    </w:p>
    <w:p w14:paraId="65352EF1" w14:textId="77777777" w:rsidR="00E04D49" w:rsidRPr="0001455C" w:rsidRDefault="00E04D49" w:rsidP="00E04D49">
      <w:pPr>
        <w:spacing w:line="240" w:lineRule="auto"/>
        <w:contextualSpacing/>
        <w:jc w:val="center"/>
        <w:rPr>
          <w:rFonts w:ascii="Cambria" w:hAnsi="Cambria"/>
          <w:b/>
          <w:bCs/>
        </w:rPr>
      </w:pPr>
      <w:r w:rsidRPr="0001455C">
        <w:rPr>
          <w:rFonts w:ascii="Cambria" w:hAnsi="Cambria"/>
          <w:b/>
          <w:bCs/>
        </w:rPr>
        <w:t>Summary of Changes</w:t>
      </w:r>
    </w:p>
    <w:p w14:paraId="4456B2C9" w14:textId="77777777" w:rsidR="00E04D49" w:rsidRDefault="00E04D49" w:rsidP="00E04D49">
      <w:pPr>
        <w:spacing w:line="240" w:lineRule="auto"/>
        <w:contextualSpacing/>
        <w:jc w:val="center"/>
        <w:rPr>
          <w:rFonts w:ascii="Cambria" w:hAnsi="Cambria"/>
          <w:b/>
          <w:bCs/>
        </w:rPr>
      </w:pPr>
      <w:r w:rsidRPr="0001455C">
        <w:rPr>
          <w:rFonts w:ascii="Cambria" w:hAnsi="Cambria"/>
          <w:b/>
          <w:bCs/>
        </w:rPr>
        <w:t>July 1, 2024 – June 30, 2027</w:t>
      </w:r>
    </w:p>
    <w:p w14:paraId="4D159DB0" w14:textId="77777777" w:rsidR="00E04D49" w:rsidRDefault="00E04D49" w:rsidP="00E04D49"/>
    <w:p w14:paraId="514F4C84" w14:textId="77777777" w:rsidR="00E04D49" w:rsidRPr="001C0608" w:rsidRDefault="00E04D49" w:rsidP="00E04D49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  <w:r w:rsidRPr="001C0608">
        <w:rPr>
          <w:rFonts w:ascii="Cambria" w:hAnsi="Cambria"/>
          <w:b/>
          <w:bCs/>
          <w:color w:val="005A8B"/>
          <w:sz w:val="28"/>
          <w:szCs w:val="28"/>
        </w:rPr>
        <w:t>Overview</w:t>
      </w:r>
    </w:p>
    <w:p w14:paraId="4DFCCF3F" w14:textId="77777777" w:rsidR="00E04D49" w:rsidRDefault="00E04D49" w:rsidP="00E04D49">
      <w:pPr>
        <w:spacing w:line="240" w:lineRule="auto"/>
        <w:contextualSpacing/>
        <w:rPr>
          <w:rFonts w:ascii="Cambria" w:hAnsi="Cambria"/>
        </w:rPr>
      </w:pPr>
    </w:p>
    <w:p w14:paraId="3EBF67CA" w14:textId="07DF707C" w:rsidR="00E04D49" w:rsidRDefault="00E04D49" w:rsidP="00E04D49">
      <w:pPr>
        <w:spacing w:line="240" w:lineRule="auto"/>
        <w:contextualSpacing/>
        <w:rPr>
          <w:rFonts w:ascii="Cambria" w:hAnsi="Cambria"/>
        </w:rPr>
      </w:pPr>
      <w:r w:rsidRPr="0001455C">
        <w:rPr>
          <w:rFonts w:ascii="Cambria" w:hAnsi="Cambria"/>
        </w:rPr>
        <w:t xml:space="preserve">The University reached agreement with the </w:t>
      </w:r>
      <w:r>
        <w:rPr>
          <w:rFonts w:ascii="Cambria" w:hAnsi="Cambria"/>
        </w:rPr>
        <w:t>GEO</w:t>
      </w:r>
      <w:r w:rsidRPr="0001455C">
        <w:rPr>
          <w:rFonts w:ascii="Cambria" w:hAnsi="Cambria"/>
        </w:rPr>
        <w:t xml:space="preserve"> on </w:t>
      </w:r>
      <w:r>
        <w:rPr>
          <w:rFonts w:ascii="Cambria" w:hAnsi="Cambria"/>
        </w:rPr>
        <w:t xml:space="preserve">a </w:t>
      </w:r>
      <w:r w:rsidRPr="0001455C">
        <w:rPr>
          <w:rFonts w:ascii="Cambria" w:hAnsi="Cambria"/>
        </w:rPr>
        <w:t>successor collective bargaining agreement</w:t>
      </w:r>
      <w:r>
        <w:rPr>
          <w:rFonts w:ascii="Cambria" w:hAnsi="Cambria"/>
        </w:rPr>
        <w:t xml:space="preserve"> on May 27, 2025. This round, the parties engaged in collaborative bargaining with the help of a facilitator. Below is a summary of the key changes reflected in the Agreement. </w:t>
      </w:r>
    </w:p>
    <w:p w14:paraId="06F6E514" w14:textId="77777777" w:rsidR="00E04D49" w:rsidRDefault="00E04D49"/>
    <w:p w14:paraId="5B81E0BB" w14:textId="6B464198" w:rsidR="00E04D49" w:rsidRDefault="00E04D49" w:rsidP="002623A6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  <w:r w:rsidRPr="001C0608">
        <w:rPr>
          <w:rFonts w:ascii="Cambria" w:hAnsi="Cambria"/>
          <w:b/>
          <w:bCs/>
          <w:color w:val="005A8B"/>
          <w:sz w:val="28"/>
          <w:szCs w:val="28"/>
        </w:rPr>
        <w:t>Economic Provisions</w:t>
      </w:r>
    </w:p>
    <w:p w14:paraId="5BE96AB5" w14:textId="77777777" w:rsidR="002623A6" w:rsidRPr="002623A6" w:rsidRDefault="002623A6" w:rsidP="002623A6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</w:p>
    <w:p w14:paraId="76C29BAE" w14:textId="79D45117" w:rsidR="00AE14A2" w:rsidRDefault="00D14261" w:rsidP="00AE14A2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13 - </w:t>
      </w:r>
      <w:r w:rsidR="00E04D49" w:rsidRPr="00E04D49">
        <w:rPr>
          <w:rFonts w:ascii="Cambria" w:hAnsi="Cambria"/>
          <w:b/>
          <w:bCs/>
        </w:rPr>
        <w:t xml:space="preserve">Stipends </w:t>
      </w:r>
    </w:p>
    <w:p w14:paraId="69D82FBF" w14:textId="0DB94B2B" w:rsidR="00C10501" w:rsidRDefault="007355BB" w:rsidP="00C10501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agreement provides for salary increases to the </w:t>
      </w:r>
      <w:r w:rsidR="0058687E">
        <w:rPr>
          <w:rFonts w:ascii="Cambria" w:hAnsi="Cambria"/>
        </w:rPr>
        <w:t>stipend minimum. The changes are as follows:</w:t>
      </w:r>
    </w:p>
    <w:p w14:paraId="62214E1D" w14:textId="77777777" w:rsidR="0058687E" w:rsidRDefault="0058687E" w:rsidP="00C10501">
      <w:pPr>
        <w:spacing w:line="240" w:lineRule="auto"/>
        <w:contextualSpacing/>
        <w:rPr>
          <w:rFonts w:ascii="Cambria" w:hAnsi="Cambr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3510"/>
        <w:gridCol w:w="2430"/>
      </w:tblGrid>
      <w:tr w:rsidR="005356CC" w14:paraId="3760ED88" w14:textId="77777777" w:rsidTr="00C237F1">
        <w:trPr>
          <w:jc w:val="center"/>
        </w:trPr>
        <w:tc>
          <w:tcPr>
            <w:tcW w:w="1795" w:type="dxa"/>
          </w:tcPr>
          <w:p w14:paraId="0AB2EA18" w14:textId="13646F03" w:rsidR="005356CC" w:rsidRPr="0023715A" w:rsidRDefault="005356CC" w:rsidP="0023715A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23715A">
              <w:rPr>
                <w:rFonts w:ascii="Cambria" w:hAnsi="Cambria"/>
                <w:b/>
                <w:bCs/>
              </w:rPr>
              <w:t>Effective Date</w:t>
            </w:r>
          </w:p>
        </w:tc>
        <w:tc>
          <w:tcPr>
            <w:tcW w:w="3510" w:type="dxa"/>
          </w:tcPr>
          <w:p w14:paraId="0CCB5F0F" w14:textId="791466CE" w:rsidR="005356CC" w:rsidRPr="0023715A" w:rsidRDefault="005356CC" w:rsidP="0023715A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23715A">
              <w:rPr>
                <w:rFonts w:ascii="Cambria" w:hAnsi="Cambria"/>
                <w:b/>
                <w:bCs/>
              </w:rPr>
              <w:t>Increase to Stipend Minimum</w:t>
            </w:r>
          </w:p>
        </w:tc>
        <w:tc>
          <w:tcPr>
            <w:tcW w:w="2430" w:type="dxa"/>
          </w:tcPr>
          <w:p w14:paraId="710A68BC" w14:textId="2658423A" w:rsidR="005356CC" w:rsidRPr="0023715A" w:rsidRDefault="001D46BE" w:rsidP="0023715A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23715A">
              <w:rPr>
                <w:rFonts w:ascii="Cambria" w:hAnsi="Cambria"/>
                <w:b/>
                <w:bCs/>
              </w:rPr>
              <w:t>Annual Stipend</w:t>
            </w:r>
          </w:p>
        </w:tc>
      </w:tr>
      <w:tr w:rsidR="005356CC" w14:paraId="4705CE49" w14:textId="77777777" w:rsidTr="00C237F1">
        <w:trPr>
          <w:jc w:val="center"/>
        </w:trPr>
        <w:tc>
          <w:tcPr>
            <w:tcW w:w="1795" w:type="dxa"/>
            <w:vAlign w:val="center"/>
          </w:tcPr>
          <w:p w14:paraId="1C85505A" w14:textId="4C8A8F28" w:rsidR="005356CC" w:rsidRDefault="001D46BE" w:rsidP="00D61391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1, 2024</w:t>
            </w:r>
          </w:p>
        </w:tc>
        <w:tc>
          <w:tcPr>
            <w:tcW w:w="3510" w:type="dxa"/>
            <w:vAlign w:val="center"/>
          </w:tcPr>
          <w:p w14:paraId="41684D49" w14:textId="2BEA0C0D" w:rsidR="005356CC" w:rsidRDefault="001D46BE" w:rsidP="00D61391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11%</w:t>
            </w:r>
          </w:p>
        </w:tc>
        <w:tc>
          <w:tcPr>
            <w:tcW w:w="2430" w:type="dxa"/>
          </w:tcPr>
          <w:p w14:paraId="38BB1C7C" w14:textId="77777777" w:rsidR="005356CC" w:rsidRDefault="0023715A" w:rsidP="00C10501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RA/TA/AA: $22,591</w:t>
            </w:r>
          </w:p>
          <w:p w14:paraId="5969B306" w14:textId="64C6821D" w:rsidR="0023715A" w:rsidRDefault="0023715A" w:rsidP="00C10501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TF: $24,502</w:t>
            </w:r>
          </w:p>
        </w:tc>
      </w:tr>
      <w:tr w:rsidR="005356CC" w14:paraId="4D306792" w14:textId="77777777" w:rsidTr="00C237F1">
        <w:trPr>
          <w:jc w:val="center"/>
        </w:trPr>
        <w:tc>
          <w:tcPr>
            <w:tcW w:w="1795" w:type="dxa"/>
            <w:vAlign w:val="center"/>
          </w:tcPr>
          <w:p w14:paraId="44C7AFF2" w14:textId="3B2C5AC4" w:rsidR="005356CC" w:rsidRDefault="0023715A" w:rsidP="00D61391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1, 2025</w:t>
            </w:r>
          </w:p>
        </w:tc>
        <w:tc>
          <w:tcPr>
            <w:tcW w:w="3510" w:type="dxa"/>
            <w:vAlign w:val="center"/>
          </w:tcPr>
          <w:p w14:paraId="3BB5A032" w14:textId="16DDE528" w:rsidR="005356CC" w:rsidRDefault="0023715A" w:rsidP="00D61391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7%</w:t>
            </w:r>
          </w:p>
        </w:tc>
        <w:tc>
          <w:tcPr>
            <w:tcW w:w="2430" w:type="dxa"/>
          </w:tcPr>
          <w:p w14:paraId="6C988B66" w14:textId="77777777" w:rsidR="005356CC" w:rsidRDefault="0023715A" w:rsidP="00C10501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RA/TA/AA: $24,173</w:t>
            </w:r>
          </w:p>
          <w:p w14:paraId="41CF6A5E" w14:textId="472A5F3B" w:rsidR="0023715A" w:rsidRDefault="0023715A" w:rsidP="00C10501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TF: $26,217</w:t>
            </w:r>
          </w:p>
        </w:tc>
      </w:tr>
      <w:tr w:rsidR="005356CC" w14:paraId="7F8938F4" w14:textId="77777777" w:rsidTr="00C237F1">
        <w:trPr>
          <w:jc w:val="center"/>
        </w:trPr>
        <w:tc>
          <w:tcPr>
            <w:tcW w:w="1795" w:type="dxa"/>
            <w:vAlign w:val="center"/>
          </w:tcPr>
          <w:p w14:paraId="55023A8F" w14:textId="23FF5817" w:rsidR="005356CC" w:rsidRDefault="0023715A" w:rsidP="00D61391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1, 2026</w:t>
            </w:r>
          </w:p>
        </w:tc>
        <w:tc>
          <w:tcPr>
            <w:tcW w:w="3510" w:type="dxa"/>
            <w:vAlign w:val="center"/>
          </w:tcPr>
          <w:p w14:paraId="518D56B7" w14:textId="4A296A6E" w:rsidR="005356CC" w:rsidRDefault="0023715A" w:rsidP="00D61391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7%</w:t>
            </w:r>
          </w:p>
        </w:tc>
        <w:tc>
          <w:tcPr>
            <w:tcW w:w="2430" w:type="dxa"/>
          </w:tcPr>
          <w:p w14:paraId="4936FF37" w14:textId="77777777" w:rsidR="005356CC" w:rsidRDefault="0023715A" w:rsidP="00C10501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RA/TA/AA: $</w:t>
            </w:r>
            <w:r w:rsidR="00D61391">
              <w:rPr>
                <w:rFonts w:ascii="Cambria" w:hAnsi="Cambria"/>
              </w:rPr>
              <w:t>25,865</w:t>
            </w:r>
          </w:p>
          <w:p w14:paraId="3644915C" w14:textId="0A040237" w:rsidR="00D61391" w:rsidRDefault="00D61391" w:rsidP="00C10501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TF: $28,052</w:t>
            </w:r>
          </w:p>
        </w:tc>
      </w:tr>
    </w:tbl>
    <w:p w14:paraId="557F3A25" w14:textId="77777777" w:rsidR="0058687E" w:rsidRPr="00AE14A2" w:rsidRDefault="0058687E" w:rsidP="00C10501">
      <w:pPr>
        <w:spacing w:line="240" w:lineRule="auto"/>
        <w:contextualSpacing/>
        <w:rPr>
          <w:rFonts w:ascii="Cambria" w:hAnsi="Cambria"/>
        </w:rPr>
      </w:pPr>
    </w:p>
    <w:p w14:paraId="1CD30373" w14:textId="42B67A0F" w:rsidR="00C10501" w:rsidRDefault="0016265B" w:rsidP="00C10501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In order to be eligible for retroactive payments back to July 1, 2024, a bargaining unit member must have been on the payroll as of December 15, 2024, or currently on the payroll, upon execution of this agreement. </w:t>
      </w:r>
    </w:p>
    <w:p w14:paraId="44487DD9" w14:textId="77777777" w:rsidR="00483166" w:rsidRDefault="00483166" w:rsidP="00C10501">
      <w:pPr>
        <w:spacing w:line="240" w:lineRule="auto"/>
        <w:contextualSpacing/>
        <w:rPr>
          <w:rFonts w:ascii="Cambria" w:hAnsi="Cambria"/>
        </w:rPr>
      </w:pPr>
    </w:p>
    <w:p w14:paraId="18E03925" w14:textId="6328AD24" w:rsidR="00483166" w:rsidRPr="00AE14A2" w:rsidRDefault="00483166" w:rsidP="00C10501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Additionally, Fall and Spring salaries are to be paid in equal installments and shall be paid consecutively</w:t>
      </w:r>
      <w:r w:rsidR="00211413">
        <w:rPr>
          <w:rFonts w:ascii="Cambria" w:hAnsi="Cambria"/>
        </w:rPr>
        <w:t>, without gap, during the winter semester.</w:t>
      </w:r>
      <w:r w:rsidR="004202A1">
        <w:rPr>
          <w:rFonts w:ascii="Cambria" w:hAnsi="Cambria"/>
        </w:rPr>
        <w:t xml:space="preserve"> </w:t>
      </w:r>
      <w:r w:rsidR="008D4C9D">
        <w:rPr>
          <w:rFonts w:ascii="Cambria" w:hAnsi="Cambria"/>
        </w:rPr>
        <w:t xml:space="preserve">Stipends will be paid over 10 pay periods each semester. </w:t>
      </w:r>
    </w:p>
    <w:p w14:paraId="680BE5CA" w14:textId="66382379" w:rsidR="00AE14A2" w:rsidRDefault="00AE14A2" w:rsidP="00AE14A2">
      <w:pPr>
        <w:spacing w:line="240" w:lineRule="auto"/>
        <w:contextualSpacing/>
        <w:rPr>
          <w:rFonts w:ascii="Cambria" w:hAnsi="Cambria"/>
        </w:rPr>
      </w:pPr>
    </w:p>
    <w:p w14:paraId="4EEB1570" w14:textId="2E0E47B8" w:rsidR="00654A6C" w:rsidRDefault="00654A6C" w:rsidP="00AE14A2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The parties shall also form a committee</w:t>
      </w:r>
      <w:r w:rsidR="00032016">
        <w:rPr>
          <w:rFonts w:ascii="Cambria" w:hAnsi="Cambria"/>
        </w:rPr>
        <w:t xml:space="preserve">, comprised of equal representation, to discuss </w:t>
      </w:r>
      <w:r w:rsidR="00593A8F">
        <w:rPr>
          <w:rFonts w:ascii="Cambria" w:hAnsi="Cambria"/>
        </w:rPr>
        <w:t>waving</w:t>
      </w:r>
      <w:r w:rsidR="00032016">
        <w:rPr>
          <w:rFonts w:ascii="Cambria" w:hAnsi="Cambria"/>
        </w:rPr>
        <w:t xml:space="preserve"> the technology fee paid by bargaining unit members</w:t>
      </w:r>
      <w:r w:rsidR="004B71CE">
        <w:rPr>
          <w:rFonts w:ascii="Cambria" w:hAnsi="Cambria"/>
        </w:rPr>
        <w:t>.</w:t>
      </w:r>
    </w:p>
    <w:p w14:paraId="0A224DEF" w14:textId="77777777" w:rsidR="00654A6C" w:rsidRPr="00AE14A2" w:rsidRDefault="00654A6C" w:rsidP="00AE14A2">
      <w:pPr>
        <w:spacing w:line="240" w:lineRule="auto"/>
        <w:contextualSpacing/>
        <w:rPr>
          <w:rFonts w:ascii="Cambria" w:hAnsi="Cambria"/>
        </w:rPr>
      </w:pPr>
    </w:p>
    <w:p w14:paraId="394D7D15" w14:textId="18B0B3B9" w:rsidR="00E04D49" w:rsidRDefault="00D14261" w:rsidP="00AE14A2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14 - </w:t>
      </w:r>
      <w:r w:rsidR="00E04D49">
        <w:rPr>
          <w:rFonts w:ascii="Cambria" w:hAnsi="Cambria"/>
          <w:b/>
          <w:bCs/>
        </w:rPr>
        <w:t>Health and Welfare (Insurance)</w:t>
      </w:r>
    </w:p>
    <w:p w14:paraId="45F71254" w14:textId="0C2A6DC0" w:rsidR="00B37C30" w:rsidRDefault="005D65F4" w:rsidP="00AE14A2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agreement provides an increased benefit for </w:t>
      </w:r>
      <w:r w:rsidR="00DE76EC">
        <w:rPr>
          <w:rFonts w:ascii="Cambria" w:hAnsi="Cambria"/>
        </w:rPr>
        <w:t>h</w:t>
      </w:r>
      <w:r w:rsidR="00AB6194">
        <w:rPr>
          <w:rFonts w:ascii="Cambria" w:hAnsi="Cambria"/>
        </w:rPr>
        <w:t xml:space="preserve">ealth insurance. </w:t>
      </w:r>
      <w:r w:rsidR="00265EA8">
        <w:rPr>
          <w:rFonts w:ascii="Cambria" w:hAnsi="Cambria"/>
        </w:rPr>
        <w:t xml:space="preserve">The University will cover 95% of the premiums up to the </w:t>
      </w:r>
      <w:r w:rsidR="002A1B88">
        <w:rPr>
          <w:rFonts w:ascii="Cambria" w:hAnsi="Cambria"/>
        </w:rPr>
        <w:t>caps below</w:t>
      </w:r>
      <w:r w:rsidR="009C353C">
        <w:rPr>
          <w:rFonts w:ascii="Cambria" w:hAnsi="Cambria"/>
        </w:rPr>
        <w:t>:</w:t>
      </w:r>
    </w:p>
    <w:p w14:paraId="5D248326" w14:textId="77777777" w:rsidR="00B309CD" w:rsidRDefault="00B309CD" w:rsidP="00AE14A2">
      <w:pPr>
        <w:spacing w:line="240" w:lineRule="auto"/>
        <w:contextualSpacing/>
        <w:rPr>
          <w:rFonts w:ascii="Cambria" w:hAnsi="Cambria"/>
        </w:rPr>
      </w:pPr>
    </w:p>
    <w:p w14:paraId="07C2E4A4" w14:textId="77777777" w:rsidR="00B309CD" w:rsidRDefault="00B309CD" w:rsidP="00AE14A2">
      <w:pPr>
        <w:spacing w:line="240" w:lineRule="auto"/>
        <w:contextualSpacing/>
        <w:rPr>
          <w:rFonts w:ascii="Cambria" w:hAnsi="Cambria"/>
        </w:rPr>
      </w:pPr>
    </w:p>
    <w:p w14:paraId="1429B488" w14:textId="77777777" w:rsidR="00B309CD" w:rsidRDefault="00B309CD" w:rsidP="00AE14A2">
      <w:pPr>
        <w:spacing w:line="240" w:lineRule="auto"/>
        <w:contextualSpacing/>
        <w:rPr>
          <w:rFonts w:ascii="Cambria" w:hAnsi="Cambria"/>
        </w:rPr>
      </w:pPr>
    </w:p>
    <w:p w14:paraId="4A207BF1" w14:textId="28607E73" w:rsidR="00DE76EC" w:rsidRDefault="00DE76EC" w:rsidP="00B309CD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880"/>
        <w:gridCol w:w="2430"/>
      </w:tblGrid>
      <w:tr w:rsidR="001F3E22" w14:paraId="66EB4F8D" w14:textId="77777777" w:rsidTr="009C353C">
        <w:trPr>
          <w:jc w:val="center"/>
        </w:trPr>
        <w:tc>
          <w:tcPr>
            <w:tcW w:w="1795" w:type="dxa"/>
          </w:tcPr>
          <w:p w14:paraId="1B8C9316" w14:textId="2CA62281" w:rsidR="001F3E22" w:rsidRPr="00661D83" w:rsidRDefault="001F3E22" w:rsidP="009C353C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661D83">
              <w:rPr>
                <w:rFonts w:ascii="Cambria" w:hAnsi="Cambria"/>
                <w:b/>
                <w:bCs/>
              </w:rPr>
              <w:lastRenderedPageBreak/>
              <w:t>Effective Date</w:t>
            </w:r>
          </w:p>
        </w:tc>
        <w:tc>
          <w:tcPr>
            <w:tcW w:w="2880" w:type="dxa"/>
          </w:tcPr>
          <w:p w14:paraId="30EBAB4D" w14:textId="15E8E6A4" w:rsidR="001F3E22" w:rsidRPr="00661D83" w:rsidRDefault="009A0A59" w:rsidP="009C353C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University Contribution</w:t>
            </w:r>
          </w:p>
        </w:tc>
        <w:tc>
          <w:tcPr>
            <w:tcW w:w="2430" w:type="dxa"/>
          </w:tcPr>
          <w:p w14:paraId="7AF3680A" w14:textId="7C8666E8" w:rsidR="001F3E22" w:rsidRPr="00661D83" w:rsidRDefault="001F3E22" w:rsidP="009C353C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661D83">
              <w:rPr>
                <w:rFonts w:ascii="Cambria" w:hAnsi="Cambria"/>
                <w:b/>
                <w:bCs/>
              </w:rPr>
              <w:t>CAP</w:t>
            </w:r>
          </w:p>
        </w:tc>
      </w:tr>
      <w:tr w:rsidR="001F3E22" w14:paraId="1687EB99" w14:textId="77777777" w:rsidTr="009C353C">
        <w:trPr>
          <w:jc w:val="center"/>
        </w:trPr>
        <w:tc>
          <w:tcPr>
            <w:tcW w:w="1795" w:type="dxa"/>
            <w:vAlign w:val="center"/>
          </w:tcPr>
          <w:p w14:paraId="6C57C13E" w14:textId="5B4018CF" w:rsidR="001F3E22" w:rsidRDefault="001F3E22" w:rsidP="009C353C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1, 2025</w:t>
            </w:r>
          </w:p>
        </w:tc>
        <w:tc>
          <w:tcPr>
            <w:tcW w:w="2880" w:type="dxa"/>
            <w:vAlign w:val="center"/>
          </w:tcPr>
          <w:p w14:paraId="65848F4D" w14:textId="1F31B427" w:rsidR="001F3E22" w:rsidRDefault="009A0A59" w:rsidP="009C353C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95%</w:t>
            </w:r>
          </w:p>
        </w:tc>
        <w:tc>
          <w:tcPr>
            <w:tcW w:w="2430" w:type="dxa"/>
          </w:tcPr>
          <w:p w14:paraId="5330FBD4" w14:textId="6B54DE9D" w:rsidR="001F3E22" w:rsidRDefault="00096E1A" w:rsidP="00AE14A2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 FTE</w:t>
            </w:r>
            <w:r w:rsidR="001F3E22">
              <w:rPr>
                <w:rFonts w:ascii="Cambria" w:hAnsi="Cambria"/>
              </w:rPr>
              <w:t>: $3,461.88</w:t>
            </w:r>
          </w:p>
          <w:p w14:paraId="5482C9B6" w14:textId="6FBCF04E" w:rsidR="001F3E22" w:rsidRDefault="00096E1A" w:rsidP="00AE14A2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0.75 FTE</w:t>
            </w:r>
            <w:r w:rsidR="001F3E22">
              <w:rPr>
                <w:rFonts w:ascii="Cambria" w:hAnsi="Cambria"/>
              </w:rPr>
              <w:t>: $2,596.41</w:t>
            </w:r>
          </w:p>
          <w:p w14:paraId="7D9D4C60" w14:textId="080FD541" w:rsidR="001F3E22" w:rsidRDefault="00096E1A" w:rsidP="00AE14A2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0.50 FTE</w:t>
            </w:r>
            <w:r w:rsidR="001F3E22">
              <w:rPr>
                <w:rFonts w:ascii="Cambria" w:hAnsi="Cambria"/>
              </w:rPr>
              <w:t>: $1,730.94</w:t>
            </w:r>
          </w:p>
        </w:tc>
      </w:tr>
      <w:tr w:rsidR="001F3E22" w14:paraId="485DCC50" w14:textId="77777777" w:rsidTr="009C353C">
        <w:trPr>
          <w:jc w:val="center"/>
        </w:trPr>
        <w:tc>
          <w:tcPr>
            <w:tcW w:w="1795" w:type="dxa"/>
            <w:vAlign w:val="center"/>
          </w:tcPr>
          <w:p w14:paraId="776615A2" w14:textId="39D4355D" w:rsidR="001F3E22" w:rsidRDefault="001F3E22" w:rsidP="009C353C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1, 2026</w:t>
            </w:r>
          </w:p>
        </w:tc>
        <w:tc>
          <w:tcPr>
            <w:tcW w:w="2880" w:type="dxa"/>
            <w:vAlign w:val="center"/>
          </w:tcPr>
          <w:p w14:paraId="43464877" w14:textId="4C5517CC" w:rsidR="001F3E22" w:rsidRDefault="009A0A59" w:rsidP="009C353C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95%</w:t>
            </w:r>
          </w:p>
        </w:tc>
        <w:tc>
          <w:tcPr>
            <w:tcW w:w="2430" w:type="dxa"/>
          </w:tcPr>
          <w:p w14:paraId="609EB2D7" w14:textId="31C5E6F5" w:rsidR="009A0A59" w:rsidRDefault="00096E1A" w:rsidP="009A0A59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 FTE</w:t>
            </w:r>
            <w:r w:rsidR="009A0A59">
              <w:rPr>
                <w:rFonts w:ascii="Cambria" w:hAnsi="Cambria"/>
              </w:rPr>
              <w:t>: $3,</w:t>
            </w:r>
            <w:r w:rsidR="009C353C">
              <w:rPr>
                <w:rFonts w:ascii="Cambria" w:hAnsi="Cambria"/>
              </w:rPr>
              <w:t>535.28</w:t>
            </w:r>
          </w:p>
          <w:p w14:paraId="433FDDF6" w14:textId="09663A06" w:rsidR="009A0A59" w:rsidRDefault="00096E1A" w:rsidP="009A0A59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0.75 FTE</w:t>
            </w:r>
            <w:r w:rsidR="009A0A59">
              <w:rPr>
                <w:rFonts w:ascii="Cambria" w:hAnsi="Cambria"/>
              </w:rPr>
              <w:t>: $2,</w:t>
            </w:r>
            <w:r w:rsidR="009C353C">
              <w:rPr>
                <w:rFonts w:ascii="Cambria" w:hAnsi="Cambria"/>
              </w:rPr>
              <w:t>651.46</w:t>
            </w:r>
          </w:p>
          <w:p w14:paraId="2258EBE1" w14:textId="58C2F444" w:rsidR="001F3E22" w:rsidRDefault="00096E1A" w:rsidP="009A0A59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0.50 FTE</w:t>
            </w:r>
            <w:r w:rsidR="009A0A59">
              <w:rPr>
                <w:rFonts w:ascii="Cambria" w:hAnsi="Cambria"/>
              </w:rPr>
              <w:t>: $1,</w:t>
            </w:r>
            <w:r w:rsidR="009C353C">
              <w:rPr>
                <w:rFonts w:ascii="Cambria" w:hAnsi="Cambria"/>
              </w:rPr>
              <w:t>767.64</w:t>
            </w:r>
          </w:p>
        </w:tc>
      </w:tr>
    </w:tbl>
    <w:p w14:paraId="41A84313" w14:textId="61F66E6C" w:rsidR="009171E0" w:rsidRDefault="009171E0" w:rsidP="00AE14A2">
      <w:pPr>
        <w:spacing w:line="240" w:lineRule="auto"/>
        <w:contextualSpacing/>
        <w:rPr>
          <w:rFonts w:ascii="Cambria" w:hAnsi="Cambria"/>
        </w:rPr>
      </w:pPr>
    </w:p>
    <w:p w14:paraId="1AF33030" w14:textId="6835C87A" w:rsidR="00C54C2E" w:rsidRDefault="00C54C2E" w:rsidP="00C54C2E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The parties will convene a committee</w:t>
      </w:r>
      <w:r w:rsidR="0007090D">
        <w:rPr>
          <w:rFonts w:ascii="Cambria" w:hAnsi="Cambria"/>
        </w:rPr>
        <w:t>, of equal representation,</w:t>
      </w:r>
      <w:r>
        <w:rPr>
          <w:rFonts w:ascii="Cambria" w:hAnsi="Cambria"/>
        </w:rPr>
        <w:t xml:space="preserve"> for the purpose of discussing, collaborating, and reviewing methods by which administration of the health insurance benefit can be improved. </w:t>
      </w:r>
    </w:p>
    <w:p w14:paraId="4FC744B9" w14:textId="77777777" w:rsidR="002A1B88" w:rsidRDefault="002A1B88" w:rsidP="00AE14A2">
      <w:pPr>
        <w:spacing w:line="240" w:lineRule="auto"/>
        <w:contextualSpacing/>
        <w:rPr>
          <w:rFonts w:ascii="Cambria" w:hAnsi="Cambria"/>
        </w:rPr>
      </w:pPr>
    </w:p>
    <w:p w14:paraId="0AA8381E" w14:textId="4ACFE073" w:rsidR="00D6133B" w:rsidRDefault="009C353C" w:rsidP="00AE14A2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The agreement also provides an increased benefit for dental and vision insurance. The University will cover 95% of the premiums up to the caps below:</w:t>
      </w:r>
    </w:p>
    <w:p w14:paraId="54DC1A6D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tbl>
      <w:tblPr>
        <w:tblpPr w:leftFromText="180" w:rightFromText="180" w:vertAnchor="text" w:horzAnchor="page" w:tblpXSpec="center" w:tblpY="42"/>
        <w:tblW w:w="7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1031"/>
        <w:gridCol w:w="1080"/>
        <w:gridCol w:w="2320"/>
      </w:tblGrid>
      <w:tr w:rsidR="00D6133B" w:rsidRPr="00D6133B" w14:paraId="72151949" w14:textId="77777777" w:rsidTr="000C21E9">
        <w:trPr>
          <w:trHeight w:val="620"/>
        </w:trPr>
        <w:tc>
          <w:tcPr>
            <w:tcW w:w="2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9D03F" w14:textId="21A9D0C2" w:rsidR="00D6133B" w:rsidRPr="00D6133B" w:rsidRDefault="00F4178A" w:rsidP="000C21E9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0C21E9">
              <w:rPr>
                <w:rFonts w:ascii="Cambria" w:hAnsi="Cambria"/>
                <w:b/>
                <w:bCs/>
              </w:rPr>
              <w:t xml:space="preserve">Appointment </w:t>
            </w:r>
            <w:r w:rsidR="000C21E9" w:rsidRPr="000C21E9">
              <w:rPr>
                <w:rFonts w:ascii="Cambria" w:hAnsi="Cambria"/>
                <w:b/>
                <w:bCs/>
              </w:rPr>
              <w:t>Type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6CBF8" w14:textId="77777777" w:rsidR="00D6133B" w:rsidRPr="00D6133B" w:rsidRDefault="00D6133B" w:rsidP="000C21E9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D6133B">
              <w:rPr>
                <w:rFonts w:ascii="Cambria" w:hAnsi="Cambria"/>
                <w:b/>
                <w:bCs/>
              </w:rPr>
              <w:t>Dental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B9CB7" w14:textId="77777777" w:rsidR="00D6133B" w:rsidRPr="00D6133B" w:rsidRDefault="00D6133B" w:rsidP="000C21E9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D6133B">
              <w:rPr>
                <w:rFonts w:ascii="Cambria" w:hAnsi="Cambria"/>
                <w:b/>
                <w:bCs/>
              </w:rPr>
              <w:t>Vision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81E75" w14:textId="77777777" w:rsidR="00D6133B" w:rsidRPr="00D6133B" w:rsidRDefault="00D6133B" w:rsidP="00D6133B">
            <w:pPr>
              <w:spacing w:line="240" w:lineRule="auto"/>
              <w:contextualSpacing/>
              <w:rPr>
                <w:rFonts w:ascii="Cambria" w:hAnsi="Cambria"/>
              </w:rPr>
            </w:pPr>
            <w:r w:rsidRPr="00D6133B">
              <w:rPr>
                <w:rFonts w:ascii="Cambria" w:hAnsi="Cambria"/>
              </w:rPr>
              <w:t>All Annual Limits prorated based on Plan Cost Limit</w:t>
            </w:r>
          </w:p>
        </w:tc>
      </w:tr>
      <w:tr w:rsidR="00D6133B" w:rsidRPr="00D6133B" w14:paraId="0BBD0DA3" w14:textId="77777777" w:rsidTr="00F4178A">
        <w:trPr>
          <w:trHeight w:val="620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7FADC" w14:textId="6D6701CA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D6133B">
              <w:rPr>
                <w:rFonts w:ascii="Cambria" w:hAnsi="Cambria"/>
                <w:b/>
                <w:bCs/>
              </w:rPr>
              <w:t>1.0 FTE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F8EC8" w14:textId="46A8E360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D6133B">
              <w:rPr>
                <w:rFonts w:ascii="Cambria" w:hAnsi="Cambria"/>
              </w:rPr>
              <w:t>$670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565B9" w14:textId="5827BDD4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D6133B">
              <w:rPr>
                <w:rFonts w:ascii="Cambria" w:hAnsi="Cambria"/>
              </w:rPr>
              <w:t>$190</w:t>
            </w:r>
          </w:p>
        </w:tc>
        <w:tc>
          <w:tcPr>
            <w:tcW w:w="2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4CC4697" w14:textId="77777777" w:rsidR="00D6133B" w:rsidRPr="00D6133B" w:rsidRDefault="00D6133B" w:rsidP="00D6133B">
            <w:pPr>
              <w:spacing w:line="240" w:lineRule="auto"/>
              <w:contextualSpacing/>
              <w:rPr>
                <w:rFonts w:ascii="Cambria" w:hAnsi="Cambria"/>
              </w:rPr>
            </w:pPr>
          </w:p>
        </w:tc>
      </w:tr>
      <w:tr w:rsidR="00D6133B" w:rsidRPr="00D6133B" w14:paraId="1A9CA653" w14:textId="77777777" w:rsidTr="00F4178A">
        <w:trPr>
          <w:trHeight w:val="620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E693" w14:textId="23BC99F8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D6133B">
              <w:rPr>
                <w:rFonts w:ascii="Cambria" w:hAnsi="Cambria"/>
                <w:b/>
                <w:bCs/>
              </w:rPr>
              <w:t>0.75 FTE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A96BA" w14:textId="07AA53B2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D6133B">
              <w:rPr>
                <w:rFonts w:ascii="Cambria" w:hAnsi="Cambria"/>
              </w:rPr>
              <w:t>$503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54B31" w14:textId="2C5999CC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D6133B">
              <w:rPr>
                <w:rFonts w:ascii="Cambria" w:hAnsi="Cambria"/>
              </w:rPr>
              <w:t>$142.50</w:t>
            </w:r>
          </w:p>
        </w:tc>
        <w:tc>
          <w:tcPr>
            <w:tcW w:w="2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A3266C0" w14:textId="77777777" w:rsidR="00D6133B" w:rsidRPr="00D6133B" w:rsidRDefault="00D6133B" w:rsidP="00D6133B">
            <w:pPr>
              <w:spacing w:line="240" w:lineRule="auto"/>
              <w:contextualSpacing/>
              <w:rPr>
                <w:rFonts w:ascii="Cambria" w:hAnsi="Cambria"/>
              </w:rPr>
            </w:pPr>
          </w:p>
        </w:tc>
      </w:tr>
      <w:tr w:rsidR="00D6133B" w:rsidRPr="00D6133B" w14:paraId="74C633DF" w14:textId="77777777" w:rsidTr="00F4178A">
        <w:trPr>
          <w:trHeight w:val="620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57813" w14:textId="156B950A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D6133B">
              <w:rPr>
                <w:rFonts w:ascii="Cambria" w:hAnsi="Cambria"/>
                <w:b/>
                <w:bCs/>
              </w:rPr>
              <w:t>0.50 FTE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C340B" w14:textId="046E018D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D6133B">
              <w:rPr>
                <w:rFonts w:ascii="Cambria" w:hAnsi="Cambria"/>
              </w:rPr>
              <w:t>$335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533E2" w14:textId="0B3E3AEB" w:rsidR="00D6133B" w:rsidRPr="00D6133B" w:rsidRDefault="00D6133B" w:rsidP="00D6133B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D6133B">
              <w:rPr>
                <w:rFonts w:ascii="Cambria" w:hAnsi="Cambria"/>
              </w:rPr>
              <w:t>$95</w:t>
            </w:r>
          </w:p>
        </w:tc>
        <w:tc>
          <w:tcPr>
            <w:tcW w:w="2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842D30" w14:textId="77777777" w:rsidR="00D6133B" w:rsidRPr="00D6133B" w:rsidRDefault="00D6133B" w:rsidP="00D6133B">
            <w:pPr>
              <w:spacing w:line="240" w:lineRule="auto"/>
              <w:contextualSpacing/>
              <w:rPr>
                <w:rFonts w:ascii="Cambria" w:hAnsi="Cambria"/>
              </w:rPr>
            </w:pPr>
          </w:p>
        </w:tc>
      </w:tr>
    </w:tbl>
    <w:p w14:paraId="50EA8964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7E77B8AF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4019E3AA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7438592D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1FA8C314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384A86F5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09DD0C30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480B556F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2C56F128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0B2B4B16" w14:textId="77777777" w:rsidR="00D6133B" w:rsidRDefault="00D6133B" w:rsidP="00AE14A2">
      <w:pPr>
        <w:spacing w:line="240" w:lineRule="auto"/>
        <w:contextualSpacing/>
        <w:rPr>
          <w:rFonts w:ascii="Cambria" w:hAnsi="Cambria"/>
        </w:rPr>
      </w:pPr>
    </w:p>
    <w:p w14:paraId="56862116" w14:textId="77777777" w:rsidR="002A1B88" w:rsidRPr="009171E0" w:rsidRDefault="002A1B88" w:rsidP="00AE14A2">
      <w:pPr>
        <w:spacing w:line="240" w:lineRule="auto"/>
        <w:contextualSpacing/>
        <w:rPr>
          <w:rFonts w:ascii="Cambria" w:hAnsi="Cambria"/>
        </w:rPr>
      </w:pPr>
    </w:p>
    <w:p w14:paraId="0C6BA25C" w14:textId="3C2C5F85" w:rsidR="00E04D49" w:rsidRPr="00E04D49" w:rsidRDefault="00D14261" w:rsidP="00AE14A2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15 - </w:t>
      </w:r>
      <w:r w:rsidR="00E04D49">
        <w:rPr>
          <w:rFonts w:ascii="Cambria" w:hAnsi="Cambria"/>
          <w:b/>
          <w:bCs/>
        </w:rPr>
        <w:t>Grants and Funds (ESF and SSF)</w:t>
      </w:r>
    </w:p>
    <w:p w14:paraId="0E999A5C" w14:textId="4E295199" w:rsidR="00E04D49" w:rsidRPr="00D97BC3" w:rsidRDefault="0007090D">
      <w:pPr>
        <w:rPr>
          <w:rFonts w:ascii="Cambria" w:hAnsi="Cambria"/>
        </w:rPr>
      </w:pPr>
      <w:r w:rsidRPr="00D97BC3">
        <w:rPr>
          <w:rFonts w:ascii="Cambria" w:hAnsi="Cambria"/>
        </w:rPr>
        <w:t>The Scholarly Support Fund and Emergency Support Fund</w:t>
      </w:r>
      <w:r w:rsidR="00CD3FD6" w:rsidRPr="00D97BC3">
        <w:rPr>
          <w:rFonts w:ascii="Cambria" w:hAnsi="Cambria"/>
        </w:rPr>
        <w:t xml:space="preserve"> shall </w:t>
      </w:r>
      <w:r w:rsidR="00640834">
        <w:rPr>
          <w:rFonts w:ascii="Cambria" w:hAnsi="Cambria"/>
        </w:rPr>
        <w:t>each</w:t>
      </w:r>
      <w:r w:rsidR="00CD3FD6" w:rsidRPr="00D97BC3">
        <w:rPr>
          <w:rFonts w:ascii="Cambria" w:hAnsi="Cambria"/>
        </w:rPr>
        <w:t xml:space="preserve"> be increased to $50,000</w:t>
      </w:r>
      <w:r w:rsidR="00D97BC3" w:rsidRPr="00D97BC3">
        <w:rPr>
          <w:rFonts w:ascii="Cambria" w:hAnsi="Cambria"/>
        </w:rPr>
        <w:t xml:space="preserve">. These funds shall be available every year of this agreement and shall not rollover. </w:t>
      </w:r>
    </w:p>
    <w:p w14:paraId="26FA1DB7" w14:textId="77777777" w:rsidR="00681F21" w:rsidRDefault="00681F21" w:rsidP="00E04D49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</w:p>
    <w:p w14:paraId="1636DF71" w14:textId="57710C85" w:rsidR="00E04D49" w:rsidRDefault="00E04D49" w:rsidP="00E04D49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  <w:r w:rsidRPr="001C0608">
        <w:rPr>
          <w:rFonts w:ascii="Cambria" w:hAnsi="Cambria"/>
          <w:b/>
          <w:bCs/>
          <w:color w:val="005A8B"/>
          <w:sz w:val="28"/>
          <w:szCs w:val="28"/>
        </w:rPr>
        <w:t xml:space="preserve">Non-Economic Provisions </w:t>
      </w:r>
    </w:p>
    <w:p w14:paraId="60426A59" w14:textId="77777777" w:rsidR="000F228C" w:rsidRDefault="000F228C" w:rsidP="00E66C8A">
      <w:pPr>
        <w:spacing w:line="240" w:lineRule="auto"/>
        <w:contextualSpacing/>
        <w:rPr>
          <w:rFonts w:ascii="Cambria" w:hAnsi="Cambria"/>
          <w:b/>
          <w:bCs/>
        </w:rPr>
      </w:pPr>
    </w:p>
    <w:p w14:paraId="0DB38531" w14:textId="02E68329" w:rsidR="00E66C8A" w:rsidRDefault="00E04D49" w:rsidP="00E66C8A">
      <w:pPr>
        <w:spacing w:line="240" w:lineRule="auto"/>
        <w:contextualSpacing/>
        <w:rPr>
          <w:rFonts w:ascii="Cambria" w:hAnsi="Cambria"/>
          <w:b/>
          <w:bCs/>
        </w:rPr>
      </w:pPr>
      <w:r w:rsidRPr="00E04D49">
        <w:rPr>
          <w:rFonts w:ascii="Cambria" w:hAnsi="Cambria"/>
          <w:b/>
          <w:bCs/>
        </w:rPr>
        <w:t xml:space="preserve">Glossary </w:t>
      </w:r>
    </w:p>
    <w:p w14:paraId="374E2395" w14:textId="277428F4" w:rsidR="00E66C8A" w:rsidRDefault="0027527B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parties agreed to establish a committee that will develop a glossary </w:t>
      </w:r>
      <w:r w:rsidR="00DC4C9D">
        <w:rPr>
          <w:rFonts w:ascii="Cambria" w:hAnsi="Cambria"/>
        </w:rPr>
        <w:t xml:space="preserve">to aid in </w:t>
      </w:r>
      <w:r w:rsidR="008B2BFA">
        <w:rPr>
          <w:rFonts w:ascii="Cambria" w:hAnsi="Cambria"/>
        </w:rPr>
        <w:t>further</w:t>
      </w:r>
      <w:r w:rsidR="00DC4C9D">
        <w:rPr>
          <w:rFonts w:ascii="Cambria" w:hAnsi="Cambria"/>
        </w:rPr>
        <w:t xml:space="preserve"> clarification of </w:t>
      </w:r>
      <w:r w:rsidR="00D1339B">
        <w:rPr>
          <w:rFonts w:ascii="Cambria" w:hAnsi="Cambria"/>
        </w:rPr>
        <w:t>the terms</w:t>
      </w:r>
      <w:r w:rsidR="00DC4C9D">
        <w:rPr>
          <w:rFonts w:ascii="Cambria" w:hAnsi="Cambria"/>
        </w:rPr>
        <w:t xml:space="preserve"> found in </w:t>
      </w:r>
      <w:r w:rsidR="00D1339B">
        <w:rPr>
          <w:rFonts w:ascii="Cambria" w:hAnsi="Cambria"/>
        </w:rPr>
        <w:t>or outside the</w:t>
      </w:r>
      <w:r w:rsidR="00DC4C9D">
        <w:rPr>
          <w:rFonts w:ascii="Cambria" w:hAnsi="Cambria"/>
        </w:rPr>
        <w:t xml:space="preserve"> agreement</w:t>
      </w:r>
      <w:r w:rsidR="008B2BFA">
        <w:rPr>
          <w:rFonts w:ascii="Cambria" w:hAnsi="Cambria"/>
        </w:rPr>
        <w:t xml:space="preserve">. </w:t>
      </w:r>
      <w:r w:rsidR="00B63EF2">
        <w:rPr>
          <w:rFonts w:ascii="Cambria" w:hAnsi="Cambria"/>
        </w:rPr>
        <w:t xml:space="preserve">The parties agree that the glossary is a living document and will be updated on the website in real time as glossary items are agreed to. </w:t>
      </w:r>
    </w:p>
    <w:p w14:paraId="175011B2" w14:textId="77777777" w:rsidR="002D7A50" w:rsidRPr="0027527B" w:rsidRDefault="002D7A50" w:rsidP="00E66C8A">
      <w:pPr>
        <w:spacing w:line="240" w:lineRule="auto"/>
        <w:contextualSpacing/>
        <w:rPr>
          <w:rFonts w:ascii="Cambria" w:hAnsi="Cambria"/>
        </w:rPr>
      </w:pPr>
    </w:p>
    <w:p w14:paraId="3148AA58" w14:textId="71C80450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1 – </w:t>
      </w:r>
      <w:r w:rsidR="00E04D49">
        <w:rPr>
          <w:rFonts w:ascii="Cambria" w:hAnsi="Cambria"/>
          <w:b/>
          <w:bCs/>
        </w:rPr>
        <w:t>Membership</w:t>
      </w:r>
      <w:r>
        <w:rPr>
          <w:rFonts w:ascii="Cambria" w:hAnsi="Cambria"/>
          <w:b/>
          <w:bCs/>
        </w:rPr>
        <w:t>/</w:t>
      </w:r>
      <w:r w:rsidR="00E04D49">
        <w:rPr>
          <w:rFonts w:ascii="Cambria" w:hAnsi="Cambria"/>
          <w:b/>
          <w:bCs/>
        </w:rPr>
        <w:t>Research Assistant Definitions</w:t>
      </w:r>
    </w:p>
    <w:p w14:paraId="6A2A0E53" w14:textId="47A3D0B9" w:rsidR="002D7A50" w:rsidRDefault="003E063F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parties </w:t>
      </w:r>
      <w:r w:rsidR="002F24A4">
        <w:rPr>
          <w:rFonts w:ascii="Cambria" w:hAnsi="Cambria"/>
        </w:rPr>
        <w:t>recognize that members of their unit may be referred to with multiple titles</w:t>
      </w:r>
      <w:r w:rsidR="003D6A38">
        <w:rPr>
          <w:rFonts w:ascii="Cambria" w:hAnsi="Cambria"/>
        </w:rPr>
        <w:t xml:space="preserve"> and agree that any combination of those titles (graduate assistant, graduate employee, unit member) shall </w:t>
      </w:r>
      <w:r w:rsidR="00D97FE3">
        <w:rPr>
          <w:rFonts w:ascii="Cambria" w:hAnsi="Cambria"/>
        </w:rPr>
        <w:t>refer to</w:t>
      </w:r>
      <w:r w:rsidR="003D6A38">
        <w:rPr>
          <w:rFonts w:ascii="Cambria" w:hAnsi="Cambria"/>
        </w:rPr>
        <w:t xml:space="preserve"> a bargaining member as defined in Article 1.03. </w:t>
      </w:r>
    </w:p>
    <w:p w14:paraId="17BEAB9F" w14:textId="77777777" w:rsidR="003D6A38" w:rsidRDefault="003D6A38" w:rsidP="00E66C8A">
      <w:pPr>
        <w:spacing w:line="240" w:lineRule="auto"/>
        <w:contextualSpacing/>
        <w:rPr>
          <w:rFonts w:ascii="Cambria" w:hAnsi="Cambria"/>
        </w:rPr>
      </w:pPr>
    </w:p>
    <w:p w14:paraId="68E8005A" w14:textId="246EBCC5" w:rsidR="00D97FE3" w:rsidRDefault="003D6A38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lastRenderedPageBreak/>
        <w:t>Additionally, the parties</w:t>
      </w:r>
      <w:r w:rsidR="00D62DE4">
        <w:rPr>
          <w:rFonts w:ascii="Cambria" w:hAnsi="Cambria"/>
        </w:rPr>
        <w:t xml:space="preserve"> modified the Research Assistant</w:t>
      </w:r>
      <w:r w:rsidR="004D63DC">
        <w:rPr>
          <w:rFonts w:ascii="Cambria" w:hAnsi="Cambria"/>
        </w:rPr>
        <w:t xml:space="preserve"> definition to</w:t>
      </w:r>
      <w:r w:rsidR="00CB366C">
        <w:rPr>
          <w:rFonts w:ascii="Cambria" w:hAnsi="Cambria"/>
        </w:rPr>
        <w:t xml:space="preserve"> specify </w:t>
      </w:r>
      <w:r w:rsidR="006F7FE9">
        <w:rPr>
          <w:rFonts w:ascii="Cambria" w:hAnsi="Cambria"/>
        </w:rPr>
        <w:t>funding source does not solely determine if someone is in the bargaining unit or not.</w:t>
      </w:r>
    </w:p>
    <w:p w14:paraId="5F172E78" w14:textId="77777777" w:rsidR="006F7FE9" w:rsidRPr="002D7A50" w:rsidRDefault="006F7FE9" w:rsidP="00E66C8A">
      <w:pPr>
        <w:spacing w:line="240" w:lineRule="auto"/>
        <w:contextualSpacing/>
        <w:rPr>
          <w:rFonts w:ascii="Cambria" w:hAnsi="Cambria"/>
        </w:rPr>
      </w:pPr>
    </w:p>
    <w:p w14:paraId="6813E72F" w14:textId="42DE1487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2 - </w:t>
      </w:r>
      <w:r w:rsidR="00E04D49">
        <w:rPr>
          <w:rFonts w:ascii="Cambria" w:hAnsi="Cambria"/>
          <w:b/>
          <w:bCs/>
        </w:rPr>
        <w:t>Dues Authorization</w:t>
      </w:r>
      <w:r>
        <w:rPr>
          <w:rFonts w:ascii="Cambria" w:hAnsi="Cambria"/>
          <w:b/>
          <w:bCs/>
        </w:rPr>
        <w:t>/</w:t>
      </w:r>
      <w:r w:rsidR="00E04D49">
        <w:rPr>
          <w:rFonts w:ascii="Cambria" w:hAnsi="Cambria"/>
          <w:b/>
          <w:bCs/>
        </w:rPr>
        <w:t xml:space="preserve">Conceptual Integrity </w:t>
      </w:r>
    </w:p>
    <w:p w14:paraId="38CBA236" w14:textId="403B6BC6" w:rsidR="008531CC" w:rsidRDefault="007B45F9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Graduate Assistantship Form (GAF) shall be updated to </w:t>
      </w:r>
      <w:r w:rsidR="004E2BAF">
        <w:rPr>
          <w:rFonts w:ascii="Cambria" w:hAnsi="Cambria"/>
        </w:rPr>
        <w:t xml:space="preserve">remove any FERPA protected information. This will allow for a smoother process </w:t>
      </w:r>
      <w:r w:rsidR="002154E2">
        <w:rPr>
          <w:rFonts w:ascii="Cambria" w:hAnsi="Cambria"/>
        </w:rPr>
        <w:t xml:space="preserve">for dues authorization. </w:t>
      </w:r>
    </w:p>
    <w:p w14:paraId="6BFD9FDB" w14:textId="77777777" w:rsidR="002154E2" w:rsidRDefault="002154E2" w:rsidP="00E66C8A">
      <w:pPr>
        <w:spacing w:line="240" w:lineRule="auto"/>
        <w:contextualSpacing/>
        <w:rPr>
          <w:rFonts w:ascii="Cambria" w:hAnsi="Cambria"/>
        </w:rPr>
      </w:pPr>
    </w:p>
    <w:p w14:paraId="6EADAD5D" w14:textId="6F0F76AE" w:rsidR="002154E2" w:rsidRDefault="002154E2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Additionally, the parties agreed to define conceptual integrity. </w:t>
      </w:r>
      <w:r w:rsidR="00785718">
        <w:rPr>
          <w:rFonts w:ascii="Cambria" w:hAnsi="Cambria"/>
        </w:rPr>
        <w:t xml:space="preserve">This definition </w:t>
      </w:r>
      <w:r w:rsidR="003F5CE7">
        <w:rPr>
          <w:rFonts w:ascii="Cambria" w:hAnsi="Cambria"/>
        </w:rPr>
        <w:t>assures</w:t>
      </w:r>
      <w:r w:rsidR="00785718">
        <w:rPr>
          <w:rFonts w:ascii="Cambria" w:hAnsi="Cambria"/>
        </w:rPr>
        <w:t xml:space="preserve"> that should any of the terms </w:t>
      </w:r>
      <w:r w:rsidR="00E5164A">
        <w:rPr>
          <w:rFonts w:ascii="Cambria" w:hAnsi="Cambria"/>
        </w:rPr>
        <w:t>found in the contract are renamed or misused that a graduate student employee will not be adversely impacted</w:t>
      </w:r>
      <w:r w:rsidR="00251B5E">
        <w:rPr>
          <w:rFonts w:ascii="Cambria" w:hAnsi="Cambria"/>
        </w:rPr>
        <w:t xml:space="preserve">. </w:t>
      </w:r>
    </w:p>
    <w:p w14:paraId="480C3592" w14:textId="77777777" w:rsidR="004E2BAF" w:rsidRPr="008531CC" w:rsidRDefault="004E2BAF" w:rsidP="00E66C8A">
      <w:pPr>
        <w:spacing w:line="240" w:lineRule="auto"/>
        <w:contextualSpacing/>
        <w:rPr>
          <w:rFonts w:ascii="Cambria" w:hAnsi="Cambria"/>
        </w:rPr>
      </w:pPr>
    </w:p>
    <w:p w14:paraId="17B2DFF1" w14:textId="3EA9620B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4 - </w:t>
      </w:r>
      <w:r w:rsidR="00E04D49">
        <w:rPr>
          <w:rFonts w:ascii="Cambria" w:hAnsi="Cambria"/>
          <w:b/>
          <w:bCs/>
        </w:rPr>
        <w:t>Discrimination and Harassment</w:t>
      </w:r>
    </w:p>
    <w:p w14:paraId="404A4977" w14:textId="546D8720" w:rsidR="00251B5E" w:rsidRDefault="000971C9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During the bargaining </w:t>
      </w:r>
      <w:r w:rsidR="00CB1302">
        <w:rPr>
          <w:rFonts w:ascii="Cambria" w:hAnsi="Cambria"/>
        </w:rPr>
        <w:t>process, the majority of the changes</w:t>
      </w:r>
      <w:r w:rsidR="000D1643">
        <w:rPr>
          <w:rFonts w:ascii="Cambria" w:hAnsi="Cambria"/>
        </w:rPr>
        <w:t xml:space="preserve"> made in this article</w:t>
      </w:r>
      <w:r w:rsidR="00CB1302">
        <w:rPr>
          <w:rFonts w:ascii="Cambria" w:hAnsi="Cambria"/>
        </w:rPr>
        <w:t xml:space="preserve"> were </w:t>
      </w:r>
      <w:r w:rsidR="003F5CE7">
        <w:rPr>
          <w:rFonts w:ascii="Cambria" w:hAnsi="Cambria"/>
        </w:rPr>
        <w:t>the result of a</w:t>
      </w:r>
      <w:r w:rsidR="00CB1302">
        <w:rPr>
          <w:rFonts w:ascii="Cambria" w:hAnsi="Cambria"/>
        </w:rPr>
        <w:t xml:space="preserve"> committee </w:t>
      </w:r>
      <w:r w:rsidR="00AE589B">
        <w:rPr>
          <w:rFonts w:ascii="Cambria" w:hAnsi="Cambria"/>
        </w:rPr>
        <w:t>made up of</w:t>
      </w:r>
      <w:r w:rsidR="00CB1302">
        <w:rPr>
          <w:rFonts w:ascii="Cambria" w:hAnsi="Cambria"/>
        </w:rPr>
        <w:t xml:space="preserve"> members </w:t>
      </w:r>
      <w:r w:rsidR="00AE589B">
        <w:rPr>
          <w:rFonts w:ascii="Cambria" w:hAnsi="Cambria"/>
        </w:rPr>
        <w:t>from</w:t>
      </w:r>
      <w:r w:rsidR="00CB1302">
        <w:rPr>
          <w:rFonts w:ascii="Cambria" w:hAnsi="Cambria"/>
        </w:rPr>
        <w:t xml:space="preserve"> GEO, Labor Relations, and the Office of Civil Rights/Title IX</w:t>
      </w:r>
      <w:r w:rsidR="00C44FFF">
        <w:rPr>
          <w:rFonts w:ascii="Cambria" w:hAnsi="Cambria"/>
        </w:rPr>
        <w:t xml:space="preserve">. </w:t>
      </w:r>
    </w:p>
    <w:p w14:paraId="0D4AD785" w14:textId="77777777" w:rsidR="00C44FFF" w:rsidRDefault="00C44FFF" w:rsidP="00E66C8A">
      <w:pPr>
        <w:spacing w:line="240" w:lineRule="auto"/>
        <w:contextualSpacing/>
        <w:rPr>
          <w:rFonts w:ascii="Cambria" w:hAnsi="Cambria"/>
        </w:rPr>
      </w:pPr>
    </w:p>
    <w:p w14:paraId="76C001F1" w14:textId="73009B6D" w:rsidR="00C44FFF" w:rsidRDefault="00C44FFF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parties </w:t>
      </w:r>
      <w:r w:rsidR="004E119D">
        <w:rPr>
          <w:rFonts w:ascii="Cambria" w:hAnsi="Cambria"/>
        </w:rPr>
        <w:t>agreed</w:t>
      </w:r>
      <w:r>
        <w:rPr>
          <w:rFonts w:ascii="Cambria" w:hAnsi="Cambria"/>
        </w:rPr>
        <w:t xml:space="preserve"> to expand and clarify many of the definitions </w:t>
      </w:r>
      <w:r w:rsidR="00237611">
        <w:rPr>
          <w:rFonts w:ascii="Cambria" w:hAnsi="Cambria"/>
        </w:rPr>
        <w:t>under d</w:t>
      </w:r>
      <w:r>
        <w:rPr>
          <w:rFonts w:ascii="Cambria" w:hAnsi="Cambria"/>
        </w:rPr>
        <w:t>iscrimination,</w:t>
      </w:r>
      <w:r w:rsidR="00237611">
        <w:rPr>
          <w:rFonts w:ascii="Cambria" w:hAnsi="Cambria"/>
        </w:rPr>
        <w:t xml:space="preserve"> and h</w:t>
      </w:r>
      <w:r>
        <w:rPr>
          <w:rFonts w:ascii="Cambria" w:hAnsi="Cambria"/>
        </w:rPr>
        <w:t xml:space="preserve">arassment, </w:t>
      </w:r>
      <w:r w:rsidR="00237611">
        <w:rPr>
          <w:rFonts w:ascii="Cambria" w:hAnsi="Cambria"/>
        </w:rPr>
        <w:t>specifically who and what is protected</w:t>
      </w:r>
      <w:r w:rsidR="00D551F6">
        <w:rPr>
          <w:rFonts w:ascii="Cambria" w:hAnsi="Cambria"/>
        </w:rPr>
        <w:t>, under the confines of the law</w:t>
      </w:r>
      <w:r w:rsidR="00237611">
        <w:rPr>
          <w:rFonts w:ascii="Cambria" w:hAnsi="Cambria"/>
        </w:rPr>
        <w:t xml:space="preserve">. While the parties made </w:t>
      </w:r>
      <w:r w:rsidR="00112496">
        <w:rPr>
          <w:rFonts w:ascii="Cambria" w:hAnsi="Cambria"/>
        </w:rPr>
        <w:t>great progress, in the interest of concluding bargaining</w:t>
      </w:r>
      <w:r w:rsidR="00E020E9">
        <w:rPr>
          <w:rFonts w:ascii="Cambria" w:hAnsi="Cambria"/>
        </w:rPr>
        <w:t xml:space="preserve"> and not rushing through these topics</w:t>
      </w:r>
      <w:r w:rsidR="00112496">
        <w:rPr>
          <w:rFonts w:ascii="Cambria" w:hAnsi="Cambria"/>
        </w:rPr>
        <w:t xml:space="preserve">, </w:t>
      </w:r>
      <w:r w:rsidR="00546284">
        <w:rPr>
          <w:rFonts w:ascii="Cambria" w:hAnsi="Cambria"/>
        </w:rPr>
        <w:t xml:space="preserve">the committee will continue </w:t>
      </w:r>
      <w:r w:rsidR="004975C4">
        <w:rPr>
          <w:rFonts w:ascii="Cambria" w:hAnsi="Cambria"/>
        </w:rPr>
        <w:t>its</w:t>
      </w:r>
      <w:r w:rsidR="00546284">
        <w:rPr>
          <w:rFonts w:ascii="Cambria" w:hAnsi="Cambria"/>
        </w:rPr>
        <w:t xml:space="preserve"> work </w:t>
      </w:r>
      <w:r w:rsidR="0043584A">
        <w:rPr>
          <w:rFonts w:ascii="Cambria" w:hAnsi="Cambria"/>
        </w:rPr>
        <w:t xml:space="preserve">over the life of this agreement. </w:t>
      </w:r>
    </w:p>
    <w:p w14:paraId="67528A73" w14:textId="77777777" w:rsidR="00C44FFF" w:rsidRPr="00251B5E" w:rsidRDefault="00C44FFF" w:rsidP="00E66C8A">
      <w:pPr>
        <w:spacing w:line="240" w:lineRule="auto"/>
        <w:contextualSpacing/>
        <w:rPr>
          <w:rFonts w:ascii="Cambria" w:hAnsi="Cambria"/>
        </w:rPr>
      </w:pPr>
    </w:p>
    <w:p w14:paraId="7A590C12" w14:textId="002D26A6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5 - </w:t>
      </w:r>
      <w:r w:rsidR="00E04D49">
        <w:rPr>
          <w:rFonts w:ascii="Cambria" w:hAnsi="Cambria"/>
          <w:b/>
          <w:bCs/>
        </w:rPr>
        <w:t>Grievance Representation</w:t>
      </w:r>
      <w:r>
        <w:rPr>
          <w:rFonts w:ascii="Cambria" w:hAnsi="Cambria"/>
          <w:b/>
          <w:bCs/>
        </w:rPr>
        <w:t>/</w:t>
      </w:r>
      <w:r w:rsidR="00E04D49">
        <w:rPr>
          <w:rFonts w:ascii="Cambria" w:hAnsi="Cambria"/>
          <w:b/>
          <w:bCs/>
        </w:rPr>
        <w:t>Labor Management Committee</w:t>
      </w:r>
      <w:r>
        <w:rPr>
          <w:rFonts w:ascii="Cambria" w:hAnsi="Cambria"/>
          <w:b/>
          <w:bCs/>
        </w:rPr>
        <w:t>/</w:t>
      </w:r>
      <w:r w:rsidR="00E04D49">
        <w:rPr>
          <w:rFonts w:ascii="Cambria" w:hAnsi="Cambria"/>
          <w:b/>
          <w:bCs/>
        </w:rPr>
        <w:t>Union Officers</w:t>
      </w:r>
      <w:r>
        <w:rPr>
          <w:rFonts w:ascii="Cambria" w:hAnsi="Cambria"/>
          <w:b/>
          <w:bCs/>
        </w:rPr>
        <w:t>/</w:t>
      </w:r>
      <w:r w:rsidR="00E04D49">
        <w:rPr>
          <w:rFonts w:ascii="Cambria" w:hAnsi="Cambria"/>
          <w:b/>
          <w:bCs/>
        </w:rPr>
        <w:t>GEO Representation on University Committees</w:t>
      </w:r>
    </w:p>
    <w:p w14:paraId="70F8B069" w14:textId="3E4D6D20" w:rsidR="00532956" w:rsidRDefault="002F6150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783272">
        <w:rPr>
          <w:rFonts w:ascii="Cambria" w:hAnsi="Cambria"/>
        </w:rPr>
        <w:t xml:space="preserve">agreement provides further clarity </w:t>
      </w:r>
      <w:r w:rsidR="009B6F67">
        <w:rPr>
          <w:rFonts w:ascii="Cambria" w:hAnsi="Cambria"/>
        </w:rPr>
        <w:t xml:space="preserve">on </w:t>
      </w:r>
      <w:r w:rsidR="002F33F1">
        <w:rPr>
          <w:rFonts w:ascii="Cambria" w:hAnsi="Cambria"/>
        </w:rPr>
        <w:t>GEO</w:t>
      </w:r>
      <w:r w:rsidR="009B6F67">
        <w:rPr>
          <w:rFonts w:ascii="Cambria" w:hAnsi="Cambria"/>
        </w:rPr>
        <w:t xml:space="preserve">’s ability to represent members at a </w:t>
      </w:r>
      <w:r w:rsidR="00D33E4B">
        <w:rPr>
          <w:rFonts w:ascii="Cambria" w:hAnsi="Cambria"/>
        </w:rPr>
        <w:t xml:space="preserve">grievance hearing. </w:t>
      </w:r>
      <w:r w:rsidR="00F61B7A">
        <w:rPr>
          <w:rFonts w:ascii="Cambria" w:hAnsi="Cambria"/>
        </w:rPr>
        <w:t>Specifically,</w:t>
      </w:r>
      <w:r w:rsidR="00D33E4B">
        <w:rPr>
          <w:rFonts w:ascii="Cambria" w:hAnsi="Cambria"/>
        </w:rPr>
        <w:t xml:space="preserve"> someone in the</w:t>
      </w:r>
      <w:r w:rsidR="00532956">
        <w:rPr>
          <w:rFonts w:ascii="Cambria" w:hAnsi="Cambria"/>
        </w:rPr>
        <w:t xml:space="preserve"> local or internation union. </w:t>
      </w:r>
      <w:r w:rsidR="00056419">
        <w:rPr>
          <w:rFonts w:ascii="Cambria" w:hAnsi="Cambria"/>
        </w:rPr>
        <w:t xml:space="preserve">Should someone be appointed to a union offer position, they shall have the ability to represent their members during regular work hours. </w:t>
      </w:r>
      <w:r w:rsidR="00532956">
        <w:rPr>
          <w:rFonts w:ascii="Cambria" w:hAnsi="Cambria"/>
        </w:rPr>
        <w:t xml:space="preserve">The agreement </w:t>
      </w:r>
      <w:r w:rsidR="00C710A8">
        <w:rPr>
          <w:rFonts w:ascii="Cambria" w:hAnsi="Cambria"/>
        </w:rPr>
        <w:t>explicitly states</w:t>
      </w:r>
      <w:r w:rsidR="00712A64">
        <w:rPr>
          <w:rFonts w:ascii="Cambria" w:hAnsi="Cambria"/>
        </w:rPr>
        <w:t xml:space="preserve"> </w:t>
      </w:r>
      <w:r w:rsidR="00532956">
        <w:rPr>
          <w:rFonts w:ascii="Cambria" w:hAnsi="Cambria"/>
        </w:rPr>
        <w:t xml:space="preserve"> that</w:t>
      </w:r>
      <w:r w:rsidR="00783272">
        <w:rPr>
          <w:rFonts w:ascii="Cambria" w:hAnsi="Cambria"/>
        </w:rPr>
        <w:t xml:space="preserve"> in order t</w:t>
      </w:r>
      <w:r w:rsidR="00A81DE7">
        <w:rPr>
          <w:rFonts w:ascii="Cambria" w:hAnsi="Cambria"/>
        </w:rPr>
        <w:t>o involve legal counsel at an earlier stage of the grievance procedure (anything before arbitration), there must be mutual agreement of the parties.</w:t>
      </w:r>
      <w:r w:rsidR="00613FE1">
        <w:rPr>
          <w:rFonts w:ascii="Cambria" w:hAnsi="Cambria"/>
        </w:rPr>
        <w:t xml:space="preserve"> </w:t>
      </w:r>
    </w:p>
    <w:p w14:paraId="1C259B94" w14:textId="77777777" w:rsidR="00462376" w:rsidRDefault="00462376" w:rsidP="00E66C8A">
      <w:pPr>
        <w:spacing w:line="240" w:lineRule="auto"/>
        <w:contextualSpacing/>
        <w:rPr>
          <w:rFonts w:ascii="Cambria" w:hAnsi="Cambria"/>
        </w:rPr>
      </w:pPr>
    </w:p>
    <w:p w14:paraId="295C46D2" w14:textId="5D300518" w:rsidR="00462376" w:rsidRDefault="00E12A02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Additionally,</w:t>
      </w:r>
      <w:r w:rsidR="009F441C">
        <w:rPr>
          <w:rFonts w:ascii="Cambria" w:hAnsi="Cambria"/>
        </w:rPr>
        <w:t xml:space="preserve"> the number of union officer positions</w:t>
      </w:r>
      <w:r>
        <w:rPr>
          <w:rFonts w:ascii="Cambria" w:hAnsi="Cambria"/>
        </w:rPr>
        <w:t xml:space="preserve"> increased</w:t>
      </w:r>
      <w:r w:rsidR="009F441C">
        <w:rPr>
          <w:rFonts w:ascii="Cambria" w:hAnsi="Cambria"/>
        </w:rPr>
        <w:t xml:space="preserve"> from 6 to 8</w:t>
      </w:r>
      <w:r w:rsidR="009B22FC">
        <w:rPr>
          <w:rFonts w:ascii="Cambria" w:hAnsi="Cambria"/>
        </w:rPr>
        <w:t xml:space="preserve"> and establishes an additional 4 positions for the</w:t>
      </w:r>
      <w:r w:rsidR="00DB18EE">
        <w:rPr>
          <w:rFonts w:ascii="Cambria" w:hAnsi="Cambria"/>
        </w:rPr>
        <w:t xml:space="preserve"> summer and winter sessions</w:t>
      </w:r>
      <w:r w:rsidR="00AD5D61">
        <w:rPr>
          <w:rFonts w:ascii="Cambria" w:hAnsi="Cambria"/>
        </w:rPr>
        <w:t xml:space="preserve">. </w:t>
      </w:r>
      <w:r w:rsidR="00605BB4">
        <w:rPr>
          <w:rFonts w:ascii="Cambria" w:hAnsi="Cambria"/>
        </w:rPr>
        <w:t>The summer and winter appointments shall be</w:t>
      </w:r>
      <w:r w:rsidR="00613FE1">
        <w:rPr>
          <w:rFonts w:ascii="Cambria" w:hAnsi="Cambria"/>
        </w:rPr>
        <w:t xml:space="preserve"> paid as</w:t>
      </w:r>
      <w:r w:rsidR="00605BB4">
        <w:rPr>
          <w:rFonts w:ascii="Cambria" w:hAnsi="Cambria"/>
        </w:rPr>
        <w:t xml:space="preserve"> hourly positions</w:t>
      </w:r>
      <w:r w:rsidR="00613FE1">
        <w:rPr>
          <w:rFonts w:ascii="Cambria" w:hAnsi="Cambria"/>
        </w:rPr>
        <w:t xml:space="preserve"> </w:t>
      </w:r>
      <w:r w:rsidR="00605BB4">
        <w:rPr>
          <w:rFonts w:ascii="Cambria" w:hAnsi="Cambria"/>
        </w:rPr>
        <w:t xml:space="preserve">at the GEO minimum rate. </w:t>
      </w:r>
    </w:p>
    <w:p w14:paraId="005132C2" w14:textId="77777777" w:rsidR="00BD3776" w:rsidRDefault="00BD3776" w:rsidP="00E66C8A">
      <w:pPr>
        <w:spacing w:line="240" w:lineRule="auto"/>
        <w:contextualSpacing/>
        <w:rPr>
          <w:rFonts w:ascii="Cambria" w:hAnsi="Cambria"/>
        </w:rPr>
      </w:pPr>
    </w:p>
    <w:p w14:paraId="2A5AAB6E" w14:textId="67DD58B1" w:rsidR="00BD3776" w:rsidRDefault="00BD3776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Lastly, the union will be made aware of all committees which include graduate students and may nominate members from the union to service on such committees. </w:t>
      </w:r>
    </w:p>
    <w:p w14:paraId="04DCC3D7" w14:textId="77777777" w:rsidR="00532956" w:rsidRPr="002F6150" w:rsidRDefault="00532956" w:rsidP="00E66C8A">
      <w:pPr>
        <w:spacing w:line="240" w:lineRule="auto"/>
        <w:contextualSpacing/>
        <w:rPr>
          <w:rFonts w:ascii="Cambria" w:hAnsi="Cambria"/>
        </w:rPr>
      </w:pPr>
    </w:p>
    <w:p w14:paraId="6CDED729" w14:textId="60F48F23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6 - </w:t>
      </w:r>
      <w:r w:rsidR="00E04D49">
        <w:rPr>
          <w:rFonts w:ascii="Cambria" w:hAnsi="Cambria"/>
          <w:b/>
          <w:bCs/>
        </w:rPr>
        <w:t xml:space="preserve">Grievance Procedure </w:t>
      </w:r>
    </w:p>
    <w:p w14:paraId="2755BB2C" w14:textId="17EF1849" w:rsidR="00610717" w:rsidRDefault="00A1532B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changes in this article </w:t>
      </w:r>
      <w:r w:rsidR="00610717">
        <w:rPr>
          <w:rFonts w:ascii="Cambria" w:hAnsi="Cambria"/>
        </w:rPr>
        <w:t xml:space="preserve">reflect that labor relations </w:t>
      </w:r>
      <w:r w:rsidR="003C5E9A">
        <w:rPr>
          <w:rFonts w:ascii="Cambria" w:hAnsi="Cambria"/>
        </w:rPr>
        <w:t xml:space="preserve">can </w:t>
      </w:r>
      <w:r w:rsidR="00610717">
        <w:rPr>
          <w:rFonts w:ascii="Cambria" w:hAnsi="Cambria"/>
        </w:rPr>
        <w:t xml:space="preserve">be involved in any and all stages of the grievance process. </w:t>
      </w:r>
    </w:p>
    <w:p w14:paraId="03537381" w14:textId="77777777" w:rsidR="00610717" w:rsidRPr="00A1532B" w:rsidRDefault="00610717" w:rsidP="00E66C8A">
      <w:pPr>
        <w:spacing w:line="240" w:lineRule="auto"/>
        <w:contextualSpacing/>
        <w:rPr>
          <w:rFonts w:ascii="Cambria" w:hAnsi="Cambria"/>
        </w:rPr>
      </w:pPr>
    </w:p>
    <w:p w14:paraId="53D5CFA7" w14:textId="6A39DA45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7 - </w:t>
      </w:r>
      <w:r w:rsidR="00E04D49">
        <w:rPr>
          <w:rFonts w:ascii="Cambria" w:hAnsi="Cambria"/>
          <w:b/>
          <w:bCs/>
        </w:rPr>
        <w:t xml:space="preserve">Discipline and Discharge </w:t>
      </w:r>
    </w:p>
    <w:p w14:paraId="30BFC585" w14:textId="1DF65566" w:rsidR="00470360" w:rsidRDefault="001E150E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A</w:t>
      </w:r>
      <w:r w:rsidR="005F3711">
        <w:rPr>
          <w:rFonts w:ascii="Cambria" w:hAnsi="Cambria"/>
        </w:rPr>
        <w:t xml:space="preserve"> reasonable time requirement when implementing progressive discipline</w:t>
      </w:r>
      <w:r>
        <w:rPr>
          <w:rFonts w:ascii="Cambria" w:hAnsi="Cambria"/>
        </w:rPr>
        <w:t xml:space="preserve"> was added to this article</w:t>
      </w:r>
      <w:r w:rsidR="005F3711">
        <w:rPr>
          <w:rFonts w:ascii="Cambria" w:hAnsi="Cambria"/>
        </w:rPr>
        <w:t xml:space="preserve">. </w:t>
      </w:r>
    </w:p>
    <w:p w14:paraId="68B3E402" w14:textId="77777777" w:rsidR="005F3711" w:rsidRPr="00470360" w:rsidRDefault="005F3711" w:rsidP="00E66C8A">
      <w:pPr>
        <w:spacing w:line="240" w:lineRule="auto"/>
        <w:contextualSpacing/>
        <w:rPr>
          <w:rFonts w:ascii="Cambria" w:hAnsi="Cambria"/>
        </w:rPr>
      </w:pPr>
    </w:p>
    <w:p w14:paraId="7CAACBDE" w14:textId="2384195B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8 - </w:t>
      </w:r>
      <w:r w:rsidR="00E04D49">
        <w:rPr>
          <w:rFonts w:ascii="Cambria" w:hAnsi="Cambria"/>
          <w:b/>
          <w:bCs/>
        </w:rPr>
        <w:t xml:space="preserve">Job Postings </w:t>
      </w:r>
    </w:p>
    <w:p w14:paraId="1AC95428" w14:textId="3F5149F6" w:rsidR="001F531C" w:rsidRDefault="001F531C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The agreement clarifies that </w:t>
      </w:r>
      <w:r w:rsidR="00953F59">
        <w:rPr>
          <w:rFonts w:ascii="Cambria" w:hAnsi="Cambria"/>
        </w:rPr>
        <w:t xml:space="preserve">in the event a position is posted because a department does not have a targeted graduate student, that all postings are done so through HR </w:t>
      </w:r>
      <w:r w:rsidR="004150DE">
        <w:rPr>
          <w:rFonts w:ascii="Cambria" w:hAnsi="Cambria"/>
        </w:rPr>
        <w:t xml:space="preserve">where all other university jobs can be found. Additionally, individual copies of work contracts </w:t>
      </w:r>
      <w:r w:rsidR="00B7535F">
        <w:rPr>
          <w:rFonts w:ascii="Cambria" w:hAnsi="Cambria"/>
        </w:rPr>
        <w:t xml:space="preserve">will be made available to GEO. </w:t>
      </w:r>
    </w:p>
    <w:p w14:paraId="0AD253CA" w14:textId="77777777" w:rsidR="00B7535F" w:rsidRPr="001F531C" w:rsidRDefault="00B7535F" w:rsidP="00E66C8A">
      <w:pPr>
        <w:spacing w:line="240" w:lineRule="auto"/>
        <w:contextualSpacing/>
        <w:rPr>
          <w:rFonts w:ascii="Cambria" w:hAnsi="Cambria"/>
        </w:rPr>
      </w:pPr>
    </w:p>
    <w:p w14:paraId="2D9D0A0E" w14:textId="08ED8561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9 - </w:t>
      </w:r>
      <w:r w:rsidR="00E04D49">
        <w:rPr>
          <w:rFonts w:ascii="Cambria" w:hAnsi="Cambria"/>
          <w:b/>
          <w:bCs/>
        </w:rPr>
        <w:t xml:space="preserve">Appointments </w:t>
      </w:r>
    </w:p>
    <w:p w14:paraId="17D734D4" w14:textId="297E29B4" w:rsidR="00293C50" w:rsidRDefault="00E21D61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All official University offers of an assistantship communicated in writing will be honored. </w:t>
      </w:r>
    </w:p>
    <w:p w14:paraId="2D896B44" w14:textId="77777777" w:rsidR="00E21D61" w:rsidRDefault="00E21D61" w:rsidP="00E66C8A">
      <w:pPr>
        <w:spacing w:line="240" w:lineRule="auto"/>
        <w:contextualSpacing/>
        <w:rPr>
          <w:rFonts w:ascii="Cambria" w:hAnsi="Cambria"/>
        </w:rPr>
      </w:pPr>
    </w:p>
    <w:p w14:paraId="1DD08BAE" w14:textId="54DB295A" w:rsidR="007B7CF6" w:rsidRDefault="00E21D61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Additi</w:t>
      </w:r>
      <w:r w:rsidR="00142063">
        <w:rPr>
          <w:rFonts w:ascii="Cambria" w:hAnsi="Cambria"/>
        </w:rPr>
        <w:t xml:space="preserve">onally, a committee shall be established to discuss </w:t>
      </w:r>
      <w:r w:rsidR="00737C29">
        <w:rPr>
          <w:rFonts w:ascii="Cambria" w:hAnsi="Cambria"/>
        </w:rPr>
        <w:t xml:space="preserve">summer work, currently </w:t>
      </w:r>
      <w:r w:rsidR="007B7CF6">
        <w:rPr>
          <w:rFonts w:ascii="Cambria" w:hAnsi="Cambria"/>
        </w:rPr>
        <w:t>engaged</w:t>
      </w:r>
      <w:r w:rsidR="00737C29">
        <w:rPr>
          <w:rFonts w:ascii="Cambria" w:hAnsi="Cambria"/>
        </w:rPr>
        <w:t xml:space="preserve"> by graduate students over the summer</w:t>
      </w:r>
      <w:r w:rsidR="004A42AE">
        <w:rPr>
          <w:rFonts w:ascii="Cambria" w:hAnsi="Cambria"/>
        </w:rPr>
        <w:t xml:space="preserve"> on an hourly basis. The committee shall be comprised of </w:t>
      </w:r>
      <w:r w:rsidR="007B7CF6">
        <w:rPr>
          <w:rFonts w:ascii="Cambria" w:hAnsi="Cambria"/>
        </w:rPr>
        <w:t>equal representatives</w:t>
      </w:r>
      <w:r w:rsidR="009630C0">
        <w:rPr>
          <w:rFonts w:ascii="Cambria" w:hAnsi="Cambria"/>
        </w:rPr>
        <w:t xml:space="preserve"> </w:t>
      </w:r>
      <w:r w:rsidR="0026370B">
        <w:rPr>
          <w:rFonts w:ascii="Cambria" w:hAnsi="Cambria"/>
        </w:rPr>
        <w:t>who will</w:t>
      </w:r>
      <w:r w:rsidR="009630C0">
        <w:rPr>
          <w:rFonts w:ascii="Cambria" w:hAnsi="Cambria"/>
        </w:rPr>
        <w:t xml:space="preserve"> </w:t>
      </w:r>
      <w:r w:rsidR="007B7CF6">
        <w:rPr>
          <w:rFonts w:ascii="Cambria" w:hAnsi="Cambria"/>
        </w:rPr>
        <w:t>provide a recommendation to the Vice Chancellor of Human Resources</w:t>
      </w:r>
      <w:r w:rsidR="0026370B">
        <w:rPr>
          <w:rFonts w:ascii="Cambria" w:hAnsi="Cambria"/>
        </w:rPr>
        <w:t>.</w:t>
      </w:r>
    </w:p>
    <w:p w14:paraId="67EBCAA6" w14:textId="3529C0A7" w:rsidR="00E21D61" w:rsidRPr="00293C50" w:rsidRDefault="00142063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30377D78" w14:textId="76CE33D0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10 - </w:t>
      </w:r>
      <w:r w:rsidR="00E04D49">
        <w:rPr>
          <w:rFonts w:ascii="Cambria" w:hAnsi="Cambria"/>
          <w:b/>
          <w:bCs/>
        </w:rPr>
        <w:t xml:space="preserve">Workload and Work Year </w:t>
      </w:r>
    </w:p>
    <w:p w14:paraId="612BB264" w14:textId="10C8F891" w:rsidR="00B233EF" w:rsidRDefault="00C12437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Th</w:t>
      </w:r>
      <w:r w:rsidR="00B7290C">
        <w:rPr>
          <w:rFonts w:ascii="Cambria" w:hAnsi="Cambria"/>
        </w:rPr>
        <w:t xml:space="preserve">is article had a few housekeeping changes, but more importantly addressed that should someone </w:t>
      </w:r>
      <w:r w:rsidR="00B34B94">
        <w:rPr>
          <w:rFonts w:ascii="Cambria" w:hAnsi="Cambria"/>
        </w:rPr>
        <w:t>take a union officer position, who already has a 1.0FTE appointment, they shall receive the monetary equivalence of that position</w:t>
      </w:r>
      <w:r w:rsidR="00615AA3">
        <w:rPr>
          <w:rFonts w:ascii="Cambria" w:hAnsi="Cambria"/>
        </w:rPr>
        <w:t xml:space="preserve"> in the form of extra compensation</w:t>
      </w:r>
      <w:r w:rsidR="00B34B94">
        <w:rPr>
          <w:rFonts w:ascii="Cambria" w:hAnsi="Cambria"/>
        </w:rPr>
        <w:t>.</w:t>
      </w:r>
      <w:r w:rsidR="00615AA3">
        <w:rPr>
          <w:rFonts w:ascii="Cambria" w:hAnsi="Cambria"/>
        </w:rPr>
        <w:t xml:space="preserve"> </w:t>
      </w:r>
      <w:r w:rsidR="00B233EF">
        <w:rPr>
          <w:rFonts w:ascii="Cambria" w:hAnsi="Cambria"/>
        </w:rPr>
        <w:t>Typically,</w:t>
      </w:r>
      <w:r w:rsidR="00615AA3">
        <w:rPr>
          <w:rFonts w:ascii="Cambria" w:hAnsi="Cambria"/>
        </w:rPr>
        <w:t xml:space="preserve"> </w:t>
      </w:r>
      <w:r w:rsidR="00D167A5">
        <w:rPr>
          <w:rFonts w:ascii="Cambria" w:hAnsi="Cambria"/>
        </w:rPr>
        <w:t xml:space="preserve">an </w:t>
      </w:r>
      <w:r w:rsidR="004671CC">
        <w:rPr>
          <w:rFonts w:ascii="Cambria" w:hAnsi="Cambria"/>
        </w:rPr>
        <w:t xml:space="preserve">existing </w:t>
      </w:r>
      <w:r w:rsidR="00D167A5">
        <w:rPr>
          <w:rFonts w:ascii="Cambria" w:hAnsi="Cambria"/>
        </w:rPr>
        <w:t xml:space="preserve">appointment will be updated to reflect a higher hourly rate </w:t>
      </w:r>
      <w:r w:rsidR="00B233EF">
        <w:rPr>
          <w:rFonts w:ascii="Cambria" w:hAnsi="Cambria"/>
        </w:rPr>
        <w:t xml:space="preserve">which will cover the pay for the union position. </w:t>
      </w:r>
    </w:p>
    <w:p w14:paraId="2B44E1DB" w14:textId="10567DFB" w:rsidR="00C12437" w:rsidRPr="00C12437" w:rsidRDefault="00B34B94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191414F" w14:textId="6E6A8A99" w:rsidR="00E04D49" w:rsidRDefault="00D14261" w:rsidP="00E66C8A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Article 12 - </w:t>
      </w:r>
      <w:r w:rsidR="00E04D49">
        <w:rPr>
          <w:rFonts w:ascii="Cambria" w:hAnsi="Cambria"/>
          <w:b/>
          <w:bCs/>
        </w:rPr>
        <w:t>Health and Safety</w:t>
      </w:r>
    </w:p>
    <w:p w14:paraId="1A507869" w14:textId="5D11A737" w:rsidR="00B233EF" w:rsidRDefault="00580D16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agreement provides further </w:t>
      </w:r>
      <w:r w:rsidR="00DD221A">
        <w:rPr>
          <w:rFonts w:ascii="Cambria" w:hAnsi="Cambria"/>
        </w:rPr>
        <w:t xml:space="preserve">guidelines for a </w:t>
      </w:r>
      <w:r w:rsidR="002B1BEB">
        <w:rPr>
          <w:rFonts w:ascii="Cambria" w:hAnsi="Cambria"/>
        </w:rPr>
        <w:t>graduate employee</w:t>
      </w:r>
      <w:r w:rsidR="00620E7C">
        <w:rPr>
          <w:rFonts w:ascii="Cambria" w:hAnsi="Cambria"/>
        </w:rPr>
        <w:t>s</w:t>
      </w:r>
      <w:r w:rsidR="00DD221A">
        <w:rPr>
          <w:rFonts w:ascii="Cambria" w:hAnsi="Cambria"/>
        </w:rPr>
        <w:t xml:space="preserve"> right to a safe workplace. Specifically clarifying that during a </w:t>
      </w:r>
      <w:r w:rsidR="002B1BEB">
        <w:rPr>
          <w:rFonts w:ascii="Cambria" w:hAnsi="Cambria"/>
        </w:rPr>
        <w:t>hazardous condition</w:t>
      </w:r>
      <w:r w:rsidR="00DD221A">
        <w:rPr>
          <w:rFonts w:ascii="Cambria" w:hAnsi="Cambria"/>
        </w:rPr>
        <w:t xml:space="preserve">, </w:t>
      </w:r>
      <w:r w:rsidR="002B1BEB">
        <w:rPr>
          <w:rFonts w:ascii="Cambria" w:hAnsi="Cambria"/>
        </w:rPr>
        <w:t>if an employee is asked to work, they have the right to refuse. Additionally</w:t>
      </w:r>
      <w:r w:rsidR="00CF6BAE">
        <w:rPr>
          <w:rFonts w:ascii="Cambria" w:hAnsi="Cambria"/>
        </w:rPr>
        <w:t>, graduate employees will have access to personal protective equipment (PPE) when required for their work, access to workers compensation</w:t>
      </w:r>
      <w:r w:rsidR="00EA2033">
        <w:rPr>
          <w:rFonts w:ascii="Cambria" w:hAnsi="Cambria"/>
        </w:rPr>
        <w:t xml:space="preserve"> should they get injured while working</w:t>
      </w:r>
      <w:r w:rsidR="00EE6E09">
        <w:rPr>
          <w:rFonts w:ascii="Cambria" w:hAnsi="Cambria"/>
        </w:rPr>
        <w:t>, and</w:t>
      </w:r>
      <w:r w:rsidR="00EA2033">
        <w:rPr>
          <w:rFonts w:ascii="Cambria" w:hAnsi="Cambria"/>
        </w:rPr>
        <w:t xml:space="preserve"> access to</w:t>
      </w:r>
      <w:r w:rsidR="00EE6E09">
        <w:rPr>
          <w:rFonts w:ascii="Cambria" w:hAnsi="Cambria"/>
        </w:rPr>
        <w:t xml:space="preserve"> medical testing</w:t>
      </w:r>
      <w:r w:rsidR="00EA2033">
        <w:rPr>
          <w:rFonts w:ascii="Cambria" w:hAnsi="Cambria"/>
        </w:rPr>
        <w:t xml:space="preserve"> should it be required</w:t>
      </w:r>
      <w:r w:rsidR="00EE6E09">
        <w:rPr>
          <w:rFonts w:ascii="Cambria" w:hAnsi="Cambria"/>
        </w:rPr>
        <w:t xml:space="preserve">. </w:t>
      </w:r>
    </w:p>
    <w:p w14:paraId="04DA3979" w14:textId="77777777" w:rsidR="00EE6E09" w:rsidRDefault="00EE6E09" w:rsidP="00E66C8A">
      <w:pPr>
        <w:spacing w:line="240" w:lineRule="auto"/>
        <w:contextualSpacing/>
        <w:rPr>
          <w:rFonts w:ascii="Cambria" w:hAnsi="Cambria"/>
        </w:rPr>
      </w:pPr>
    </w:p>
    <w:p w14:paraId="7A3B22ED" w14:textId="48C8DE1E" w:rsidR="00EE6E09" w:rsidRPr="00B233EF" w:rsidRDefault="00620E7C" w:rsidP="00E66C8A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If</w:t>
      </w:r>
      <w:r w:rsidR="00EE6E09">
        <w:rPr>
          <w:rFonts w:ascii="Cambria" w:hAnsi="Cambria"/>
        </w:rPr>
        <w:t xml:space="preserve"> a health an</w:t>
      </w:r>
      <w:r w:rsidR="00AF1B5D">
        <w:rPr>
          <w:rFonts w:ascii="Cambria" w:hAnsi="Cambria"/>
        </w:rPr>
        <w:t>d</w:t>
      </w:r>
      <w:r w:rsidR="00EE6E09">
        <w:rPr>
          <w:rFonts w:ascii="Cambria" w:hAnsi="Cambria"/>
        </w:rPr>
        <w:t xml:space="preserve"> safety concern</w:t>
      </w:r>
      <w:r w:rsidR="00026BD0">
        <w:rPr>
          <w:rFonts w:ascii="Cambria" w:hAnsi="Cambria"/>
        </w:rPr>
        <w:t xml:space="preserve"> is</w:t>
      </w:r>
      <w:r w:rsidR="00EE6E09">
        <w:rPr>
          <w:rFonts w:ascii="Cambria" w:hAnsi="Cambria"/>
        </w:rPr>
        <w:t xml:space="preserve"> </w:t>
      </w:r>
      <w:r w:rsidR="00E555C1">
        <w:rPr>
          <w:rFonts w:ascii="Cambria" w:hAnsi="Cambria"/>
        </w:rPr>
        <w:t xml:space="preserve">witnessed by an employee, the parties agreed on a process that should be followed based on the polices set for in the Environmental </w:t>
      </w:r>
      <w:r w:rsidR="00CE7C19">
        <w:rPr>
          <w:rFonts w:ascii="Cambria" w:hAnsi="Cambria"/>
        </w:rPr>
        <w:t>Health and Safety Management Policy.</w:t>
      </w:r>
    </w:p>
    <w:sectPr w:rsidR="00EE6E09" w:rsidRPr="00B233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B520" w14:textId="77777777" w:rsidR="007A1BB0" w:rsidRDefault="007A1BB0" w:rsidP="00026BD0">
      <w:pPr>
        <w:spacing w:after="0" w:line="240" w:lineRule="auto"/>
      </w:pPr>
      <w:r>
        <w:separator/>
      </w:r>
    </w:p>
  </w:endnote>
  <w:endnote w:type="continuationSeparator" w:id="0">
    <w:p w14:paraId="0066630F" w14:textId="77777777" w:rsidR="007A1BB0" w:rsidRDefault="007A1BB0" w:rsidP="000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192171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FA4F031" w14:textId="29BA5892" w:rsidR="00026BD0" w:rsidRPr="00026BD0" w:rsidRDefault="00026BD0">
        <w:pPr>
          <w:pStyle w:val="Footer"/>
          <w:jc w:val="center"/>
          <w:rPr>
            <w:rFonts w:ascii="Cambria" w:hAnsi="Cambria"/>
          </w:rPr>
        </w:pPr>
        <w:r w:rsidRPr="00026BD0">
          <w:rPr>
            <w:rFonts w:ascii="Cambria" w:hAnsi="Cambria"/>
          </w:rPr>
          <w:fldChar w:fldCharType="begin"/>
        </w:r>
        <w:r w:rsidRPr="00026BD0">
          <w:rPr>
            <w:rFonts w:ascii="Cambria" w:hAnsi="Cambria"/>
          </w:rPr>
          <w:instrText xml:space="preserve"> PAGE   \* MERGEFORMAT </w:instrText>
        </w:r>
        <w:r w:rsidRPr="00026BD0">
          <w:rPr>
            <w:rFonts w:ascii="Cambria" w:hAnsi="Cambria"/>
          </w:rPr>
          <w:fldChar w:fldCharType="separate"/>
        </w:r>
        <w:r w:rsidRPr="00026BD0">
          <w:rPr>
            <w:rFonts w:ascii="Cambria" w:hAnsi="Cambria"/>
            <w:noProof/>
          </w:rPr>
          <w:t>2</w:t>
        </w:r>
        <w:r w:rsidRPr="00026BD0">
          <w:rPr>
            <w:rFonts w:ascii="Cambria" w:hAnsi="Cambria"/>
            <w:noProof/>
          </w:rPr>
          <w:fldChar w:fldCharType="end"/>
        </w:r>
      </w:p>
    </w:sdtContent>
  </w:sdt>
  <w:p w14:paraId="25F712AD" w14:textId="77777777" w:rsidR="00026BD0" w:rsidRDefault="00026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0D0A" w14:textId="77777777" w:rsidR="007A1BB0" w:rsidRDefault="007A1BB0" w:rsidP="00026BD0">
      <w:pPr>
        <w:spacing w:after="0" w:line="240" w:lineRule="auto"/>
      </w:pPr>
      <w:r>
        <w:separator/>
      </w:r>
    </w:p>
  </w:footnote>
  <w:footnote w:type="continuationSeparator" w:id="0">
    <w:p w14:paraId="7B72702D" w14:textId="77777777" w:rsidR="007A1BB0" w:rsidRDefault="007A1BB0" w:rsidP="0002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49"/>
    <w:rsid w:val="000242B8"/>
    <w:rsid w:val="00026BD0"/>
    <w:rsid w:val="00032016"/>
    <w:rsid w:val="00056419"/>
    <w:rsid w:val="0007090D"/>
    <w:rsid w:val="000871CF"/>
    <w:rsid w:val="00096E1A"/>
    <w:rsid w:val="000971C9"/>
    <w:rsid w:val="000A4219"/>
    <w:rsid w:val="000C21E9"/>
    <w:rsid w:val="000D1643"/>
    <w:rsid w:val="000F228C"/>
    <w:rsid w:val="00104006"/>
    <w:rsid w:val="00112496"/>
    <w:rsid w:val="001410E9"/>
    <w:rsid w:val="00142063"/>
    <w:rsid w:val="0016265B"/>
    <w:rsid w:val="001D46BE"/>
    <w:rsid w:val="001E150E"/>
    <w:rsid w:val="001E3152"/>
    <w:rsid w:val="001F3E22"/>
    <w:rsid w:val="001F531C"/>
    <w:rsid w:val="001F53FC"/>
    <w:rsid w:val="00211413"/>
    <w:rsid w:val="002154E2"/>
    <w:rsid w:val="0023715A"/>
    <w:rsid w:val="00237611"/>
    <w:rsid w:val="002463B6"/>
    <w:rsid w:val="00251B5E"/>
    <w:rsid w:val="00253486"/>
    <w:rsid w:val="002623A6"/>
    <w:rsid w:val="0026370B"/>
    <w:rsid w:val="00265EA8"/>
    <w:rsid w:val="0027527B"/>
    <w:rsid w:val="00293C50"/>
    <w:rsid w:val="002A1B88"/>
    <w:rsid w:val="002B1BEB"/>
    <w:rsid w:val="002C1869"/>
    <w:rsid w:val="002D7A50"/>
    <w:rsid w:val="002E3BD5"/>
    <w:rsid w:val="002F24A4"/>
    <w:rsid w:val="002F33F1"/>
    <w:rsid w:val="002F6150"/>
    <w:rsid w:val="00300A38"/>
    <w:rsid w:val="00337923"/>
    <w:rsid w:val="00362C42"/>
    <w:rsid w:val="003C5E9A"/>
    <w:rsid w:val="003D2A51"/>
    <w:rsid w:val="003D6A38"/>
    <w:rsid w:val="003E063F"/>
    <w:rsid w:val="003F5CE7"/>
    <w:rsid w:val="004044F2"/>
    <w:rsid w:val="004150DE"/>
    <w:rsid w:val="004202A1"/>
    <w:rsid w:val="0043584A"/>
    <w:rsid w:val="004469F7"/>
    <w:rsid w:val="00462376"/>
    <w:rsid w:val="004671CC"/>
    <w:rsid w:val="00470360"/>
    <w:rsid w:val="00481570"/>
    <w:rsid w:val="00483166"/>
    <w:rsid w:val="004975C4"/>
    <w:rsid w:val="004A42AE"/>
    <w:rsid w:val="004B71CE"/>
    <w:rsid w:val="004D63DC"/>
    <w:rsid w:val="004E119D"/>
    <w:rsid w:val="004E2BAF"/>
    <w:rsid w:val="004F27C6"/>
    <w:rsid w:val="004F62EE"/>
    <w:rsid w:val="00532956"/>
    <w:rsid w:val="005356CC"/>
    <w:rsid w:val="00546284"/>
    <w:rsid w:val="00555615"/>
    <w:rsid w:val="00580D16"/>
    <w:rsid w:val="0058687E"/>
    <w:rsid w:val="00593A8F"/>
    <w:rsid w:val="005A2FB3"/>
    <w:rsid w:val="005D65F4"/>
    <w:rsid w:val="005F3711"/>
    <w:rsid w:val="00605BB4"/>
    <w:rsid w:val="00610717"/>
    <w:rsid w:val="00613FE1"/>
    <w:rsid w:val="00615AA3"/>
    <w:rsid w:val="00620E7C"/>
    <w:rsid w:val="00640834"/>
    <w:rsid w:val="00651D21"/>
    <w:rsid w:val="00654A6C"/>
    <w:rsid w:val="00661D83"/>
    <w:rsid w:val="00681F21"/>
    <w:rsid w:val="006F7FE9"/>
    <w:rsid w:val="00712A64"/>
    <w:rsid w:val="007355BB"/>
    <w:rsid w:val="00737C29"/>
    <w:rsid w:val="00783272"/>
    <w:rsid w:val="00785718"/>
    <w:rsid w:val="007A1BB0"/>
    <w:rsid w:val="007B45F9"/>
    <w:rsid w:val="007B7CF6"/>
    <w:rsid w:val="007C63B9"/>
    <w:rsid w:val="008162FB"/>
    <w:rsid w:val="0082336B"/>
    <w:rsid w:val="008353A8"/>
    <w:rsid w:val="008515B4"/>
    <w:rsid w:val="008531CC"/>
    <w:rsid w:val="00886973"/>
    <w:rsid w:val="008B2BFA"/>
    <w:rsid w:val="008C230C"/>
    <w:rsid w:val="008D4C9D"/>
    <w:rsid w:val="009171E0"/>
    <w:rsid w:val="00953F59"/>
    <w:rsid w:val="009630C0"/>
    <w:rsid w:val="00981C87"/>
    <w:rsid w:val="009A0A59"/>
    <w:rsid w:val="009A3D1E"/>
    <w:rsid w:val="009B22FC"/>
    <w:rsid w:val="009B6F67"/>
    <w:rsid w:val="009C353C"/>
    <w:rsid w:val="009F441C"/>
    <w:rsid w:val="00A1532B"/>
    <w:rsid w:val="00A667B6"/>
    <w:rsid w:val="00A81DE7"/>
    <w:rsid w:val="00A94788"/>
    <w:rsid w:val="00AB6194"/>
    <w:rsid w:val="00AD5D61"/>
    <w:rsid w:val="00AE14A2"/>
    <w:rsid w:val="00AE589B"/>
    <w:rsid w:val="00AF1B5D"/>
    <w:rsid w:val="00B233EF"/>
    <w:rsid w:val="00B309CD"/>
    <w:rsid w:val="00B34B94"/>
    <w:rsid w:val="00B37C30"/>
    <w:rsid w:val="00B63EF2"/>
    <w:rsid w:val="00B7290C"/>
    <w:rsid w:val="00B7535F"/>
    <w:rsid w:val="00B869DB"/>
    <w:rsid w:val="00BD3776"/>
    <w:rsid w:val="00C10501"/>
    <w:rsid w:val="00C12437"/>
    <w:rsid w:val="00C237F1"/>
    <w:rsid w:val="00C44FFF"/>
    <w:rsid w:val="00C51D7D"/>
    <w:rsid w:val="00C54C2E"/>
    <w:rsid w:val="00C710A8"/>
    <w:rsid w:val="00CA726E"/>
    <w:rsid w:val="00CB1302"/>
    <w:rsid w:val="00CB366C"/>
    <w:rsid w:val="00CD3FD6"/>
    <w:rsid w:val="00CE7C19"/>
    <w:rsid w:val="00CF6BAE"/>
    <w:rsid w:val="00D1339B"/>
    <w:rsid w:val="00D14261"/>
    <w:rsid w:val="00D167A5"/>
    <w:rsid w:val="00D33E4B"/>
    <w:rsid w:val="00D551F6"/>
    <w:rsid w:val="00D6133B"/>
    <w:rsid w:val="00D61391"/>
    <w:rsid w:val="00D62B4C"/>
    <w:rsid w:val="00D62DE4"/>
    <w:rsid w:val="00D63492"/>
    <w:rsid w:val="00D97BC3"/>
    <w:rsid w:val="00D97FE3"/>
    <w:rsid w:val="00DB18EE"/>
    <w:rsid w:val="00DC4C9D"/>
    <w:rsid w:val="00DD221A"/>
    <w:rsid w:val="00DE76EC"/>
    <w:rsid w:val="00E020E9"/>
    <w:rsid w:val="00E03050"/>
    <w:rsid w:val="00E04D49"/>
    <w:rsid w:val="00E12A02"/>
    <w:rsid w:val="00E21D61"/>
    <w:rsid w:val="00E5164A"/>
    <w:rsid w:val="00E555C1"/>
    <w:rsid w:val="00E57139"/>
    <w:rsid w:val="00E66C8A"/>
    <w:rsid w:val="00E92F44"/>
    <w:rsid w:val="00EA2033"/>
    <w:rsid w:val="00EE6E09"/>
    <w:rsid w:val="00F4178A"/>
    <w:rsid w:val="00F61B7A"/>
    <w:rsid w:val="00F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321A"/>
  <w15:chartTrackingRefBased/>
  <w15:docId w15:val="{81E3E58F-E072-46E7-A9A1-4927EAFD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49"/>
  </w:style>
  <w:style w:type="paragraph" w:styleId="Heading1">
    <w:name w:val="heading 1"/>
    <w:basedOn w:val="Normal"/>
    <w:next w:val="Normal"/>
    <w:link w:val="Heading1Char"/>
    <w:uiPriority w:val="9"/>
    <w:qFormat/>
    <w:rsid w:val="00E0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D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BD0"/>
  </w:style>
  <w:style w:type="paragraph" w:styleId="Footer">
    <w:name w:val="footer"/>
    <w:basedOn w:val="Normal"/>
    <w:link w:val="FooterChar"/>
    <w:uiPriority w:val="99"/>
    <w:unhideWhenUsed/>
    <w:rsid w:val="000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3a59ec9-72ae-4468-8b69-a6fc079d6534">
      <Terms xmlns="http://schemas.microsoft.com/office/infopath/2007/PartnerControls"/>
    </lcf76f155ced4ddcb4097134ff3c332f>
    <TaxCatchAll xmlns="f6e3e907-bc34-45f2-9bd0-9583dc1f18f1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4CAAFA20B174C9D092CEDE2B75F72" ma:contentTypeVersion="19" ma:contentTypeDescription="Create a new document." ma:contentTypeScope="" ma:versionID="50cfcd3360f04827fed98f9209a86347">
  <xsd:schema xmlns:xsd="http://www.w3.org/2001/XMLSchema" xmlns:xs="http://www.w3.org/2001/XMLSchema" xmlns:p="http://schemas.microsoft.com/office/2006/metadata/properties" xmlns:ns1="http://schemas.microsoft.com/sharepoint/v3" xmlns:ns2="13a59ec9-72ae-4468-8b69-a6fc079d6534" xmlns:ns3="f6e3e907-bc34-45f2-9bd0-9583dc1f18f1" targetNamespace="http://schemas.microsoft.com/office/2006/metadata/properties" ma:root="true" ma:fieldsID="46b79bf550a7fdc90112792ceb966ee5" ns1:_="" ns2:_="" ns3:_="">
    <xsd:import namespace="http://schemas.microsoft.com/sharepoint/v3"/>
    <xsd:import namespace="13a59ec9-72ae-4468-8b69-a6fc079d6534"/>
    <xsd:import namespace="f6e3e907-bc34-45f2-9bd0-9583dc1f1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59ec9-72ae-4468-8b69-a6fc079d6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3e907-bc34-45f2-9bd0-9583dc1f1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964832-bc18-42a7-bfab-f3f523e046bb}" ma:internalName="TaxCatchAll" ma:showField="CatchAllData" ma:web="f6e3e907-bc34-45f2-9bd0-9583dc1f1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A41DA-DB5D-450C-A7B3-B56BB7EE9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a59ec9-72ae-4468-8b69-a6fc079d6534"/>
    <ds:schemaRef ds:uri="f6e3e907-bc34-45f2-9bd0-9583dc1f18f1"/>
  </ds:schemaRefs>
</ds:datastoreItem>
</file>

<file path=customXml/itemProps2.xml><?xml version="1.0" encoding="utf-8"?>
<ds:datastoreItem xmlns:ds="http://schemas.openxmlformats.org/officeDocument/2006/customXml" ds:itemID="{ED03812D-2BDE-45D5-A5E6-817BAEC74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54702-D4D8-490B-BC68-6E88E29D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a59ec9-72ae-4468-8b69-a6fc079d6534"/>
    <ds:schemaRef ds:uri="f6e3e907-bc34-45f2-9bd0-9583dc1f1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 Coddington</dc:creator>
  <cp:keywords/>
  <dc:description/>
  <cp:lastModifiedBy>Sophie K Coddington</cp:lastModifiedBy>
  <cp:revision>188</cp:revision>
  <dcterms:created xsi:type="dcterms:W3CDTF">2025-07-01T12:05:00Z</dcterms:created>
  <dcterms:modified xsi:type="dcterms:W3CDTF">2025-07-03T14:16:00Z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0x01010022B4CAAFA20B174C9D092CEDE2B75F72</vt:lpwstr>
  </property>
  <property fmtid="{D5CDD505-2E9C-101B-9397-08002B2CF9AE}" pid="3" name="MediaServiceImageTags">
    <vt:lpwstr/>
  </property>
</Properties>
</file>