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B012" w14:textId="77777777" w:rsidR="00265199" w:rsidRPr="0001455C" w:rsidRDefault="002F067A" w:rsidP="00265199">
      <w:pPr>
        <w:spacing w:line="240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Faculty Staff Union (FSU)</w:t>
      </w:r>
      <w:r w:rsidR="00265199" w:rsidRPr="0001455C">
        <w:rPr>
          <w:rFonts w:ascii="Cambria" w:hAnsi="Cambria"/>
          <w:b/>
          <w:bCs/>
        </w:rPr>
        <w:t xml:space="preserve"> Collective Bargaining Agreement</w:t>
      </w:r>
    </w:p>
    <w:p w14:paraId="5D6247A1" w14:textId="77777777" w:rsidR="00265199" w:rsidRPr="0001455C" w:rsidRDefault="00265199" w:rsidP="00265199">
      <w:pPr>
        <w:spacing w:line="240" w:lineRule="auto"/>
        <w:contextualSpacing/>
        <w:jc w:val="center"/>
        <w:rPr>
          <w:rFonts w:ascii="Cambria" w:hAnsi="Cambria"/>
          <w:b/>
          <w:bCs/>
        </w:rPr>
      </w:pPr>
      <w:r w:rsidRPr="0001455C">
        <w:rPr>
          <w:rFonts w:ascii="Cambria" w:hAnsi="Cambria"/>
          <w:b/>
          <w:bCs/>
        </w:rPr>
        <w:t>Summary of Changes</w:t>
      </w:r>
    </w:p>
    <w:p w14:paraId="1E62C1F6" w14:textId="77777777" w:rsidR="00265199" w:rsidRDefault="00265199" w:rsidP="00265199">
      <w:pPr>
        <w:spacing w:line="240" w:lineRule="auto"/>
        <w:contextualSpacing/>
        <w:jc w:val="center"/>
        <w:rPr>
          <w:rFonts w:ascii="Cambria" w:hAnsi="Cambria"/>
          <w:b/>
          <w:bCs/>
        </w:rPr>
      </w:pPr>
      <w:r w:rsidRPr="0001455C">
        <w:rPr>
          <w:rFonts w:ascii="Cambria" w:hAnsi="Cambria"/>
          <w:b/>
          <w:bCs/>
        </w:rPr>
        <w:t>July 1, 2024 – June 30, 2027</w:t>
      </w:r>
    </w:p>
    <w:p w14:paraId="4DB7B602" w14:textId="77777777" w:rsidR="00265199" w:rsidRDefault="00265199" w:rsidP="00265199"/>
    <w:p w14:paraId="1BCE5B0C" w14:textId="77777777" w:rsidR="00265199" w:rsidRPr="001C0608" w:rsidRDefault="00265199" w:rsidP="00265199">
      <w:pPr>
        <w:spacing w:line="240" w:lineRule="auto"/>
        <w:contextualSpacing/>
        <w:rPr>
          <w:rFonts w:ascii="Cambria" w:hAnsi="Cambria"/>
          <w:b/>
          <w:bCs/>
          <w:color w:val="005A8B"/>
          <w:sz w:val="28"/>
          <w:szCs w:val="28"/>
        </w:rPr>
      </w:pPr>
      <w:r w:rsidRPr="001C0608">
        <w:rPr>
          <w:rFonts w:ascii="Cambria" w:hAnsi="Cambria"/>
          <w:b/>
          <w:bCs/>
          <w:color w:val="005A8B"/>
          <w:sz w:val="28"/>
          <w:szCs w:val="28"/>
        </w:rPr>
        <w:t>Overview</w:t>
      </w:r>
    </w:p>
    <w:p w14:paraId="5687998C" w14:textId="77777777" w:rsidR="00265199" w:rsidRDefault="00265199" w:rsidP="00265199">
      <w:pPr>
        <w:spacing w:line="240" w:lineRule="auto"/>
        <w:contextualSpacing/>
        <w:rPr>
          <w:rFonts w:ascii="Cambria" w:hAnsi="Cambria"/>
        </w:rPr>
      </w:pPr>
    </w:p>
    <w:p w14:paraId="2B1A86EC" w14:textId="77777777" w:rsidR="00265199" w:rsidRDefault="00265199" w:rsidP="00265199">
      <w:pPr>
        <w:spacing w:line="240" w:lineRule="auto"/>
        <w:contextualSpacing/>
        <w:rPr>
          <w:rFonts w:ascii="Cambria" w:hAnsi="Cambria"/>
        </w:rPr>
      </w:pPr>
      <w:r w:rsidRPr="0001455C">
        <w:rPr>
          <w:rFonts w:ascii="Cambria" w:hAnsi="Cambria"/>
        </w:rPr>
        <w:t xml:space="preserve">The University reached agreement with the </w:t>
      </w:r>
      <w:r w:rsidR="002F067A">
        <w:rPr>
          <w:rFonts w:ascii="Cambria" w:hAnsi="Cambria"/>
        </w:rPr>
        <w:t>FSU</w:t>
      </w:r>
      <w:r w:rsidRPr="0001455C">
        <w:rPr>
          <w:rFonts w:ascii="Cambria" w:hAnsi="Cambria"/>
        </w:rPr>
        <w:t xml:space="preserve"> on </w:t>
      </w:r>
      <w:r>
        <w:rPr>
          <w:rFonts w:ascii="Cambria" w:hAnsi="Cambria"/>
        </w:rPr>
        <w:t xml:space="preserve">a </w:t>
      </w:r>
      <w:r w:rsidRPr="0001455C">
        <w:rPr>
          <w:rFonts w:ascii="Cambria" w:hAnsi="Cambria"/>
        </w:rPr>
        <w:t>successor collective bargaining agreement</w:t>
      </w:r>
      <w:r>
        <w:rPr>
          <w:rFonts w:ascii="Cambria" w:hAnsi="Cambria"/>
        </w:rPr>
        <w:t xml:space="preserve"> on May 27, 2025. Below is a summary of the key changes reflected in the Agreement. </w:t>
      </w:r>
    </w:p>
    <w:p w14:paraId="33B6D743" w14:textId="77777777" w:rsidR="00555615" w:rsidRDefault="00555615"/>
    <w:p w14:paraId="086D02C7" w14:textId="77777777" w:rsidR="00265199" w:rsidRDefault="00265199" w:rsidP="00265199">
      <w:pPr>
        <w:spacing w:line="240" w:lineRule="auto"/>
        <w:contextualSpacing/>
        <w:rPr>
          <w:rFonts w:ascii="Cambria" w:hAnsi="Cambria"/>
          <w:b/>
          <w:bCs/>
          <w:color w:val="005A8B"/>
          <w:sz w:val="28"/>
          <w:szCs w:val="28"/>
        </w:rPr>
      </w:pPr>
      <w:r w:rsidRPr="001C0608">
        <w:rPr>
          <w:rFonts w:ascii="Cambria" w:hAnsi="Cambria"/>
          <w:b/>
          <w:bCs/>
          <w:color w:val="005A8B"/>
          <w:sz w:val="28"/>
          <w:szCs w:val="28"/>
        </w:rPr>
        <w:t>Economic Provisions</w:t>
      </w:r>
    </w:p>
    <w:p w14:paraId="5910532D" w14:textId="77777777" w:rsidR="002F067A" w:rsidRDefault="002F067A" w:rsidP="00265199">
      <w:pPr>
        <w:spacing w:line="240" w:lineRule="auto"/>
        <w:contextualSpacing/>
        <w:rPr>
          <w:rFonts w:ascii="Cambria" w:hAnsi="Cambria"/>
          <w:b/>
          <w:bCs/>
          <w:color w:val="005A8B"/>
          <w:sz w:val="28"/>
          <w:szCs w:val="28"/>
        </w:rPr>
      </w:pPr>
    </w:p>
    <w:p w14:paraId="6253B8BE" w14:textId="77777777" w:rsidR="00B03CE5" w:rsidRPr="00B03CE5" w:rsidRDefault="00B03CE5" w:rsidP="00265199">
      <w:pPr>
        <w:spacing w:line="240" w:lineRule="auto"/>
        <w:contextualSpacing/>
        <w:rPr>
          <w:rFonts w:ascii="Cambria" w:hAnsi="Cambria"/>
          <w:b/>
          <w:bCs/>
        </w:rPr>
      </w:pPr>
      <w:r w:rsidRPr="00B03CE5">
        <w:rPr>
          <w:rFonts w:ascii="Cambria" w:hAnsi="Cambria"/>
          <w:b/>
          <w:bCs/>
        </w:rPr>
        <w:t>Continuing Appointment</w:t>
      </w:r>
    </w:p>
    <w:p w14:paraId="40E3313B" w14:textId="77777777" w:rsidR="00B03CE5" w:rsidRDefault="00E2552F" w:rsidP="00265199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>Calculation</w:t>
      </w:r>
      <w:r w:rsidR="00B03CE5" w:rsidRPr="0B95B156">
        <w:rPr>
          <w:rFonts w:ascii="Cambria" w:hAnsi="Cambria"/>
        </w:rPr>
        <w:t xml:space="preserve"> </w:t>
      </w:r>
      <w:r w:rsidR="153710C1" w:rsidRPr="0B95B156">
        <w:rPr>
          <w:rFonts w:ascii="Cambria" w:hAnsi="Cambria"/>
        </w:rPr>
        <w:t>of</w:t>
      </w:r>
      <w:r w:rsidR="00B03CE5" w:rsidRPr="0B95B156">
        <w:rPr>
          <w:rFonts w:ascii="Cambria" w:hAnsi="Cambria"/>
        </w:rPr>
        <w:t xml:space="preserve"> percentage of time for continuing appointment</w:t>
      </w:r>
      <w:r w:rsidR="6D565033" w:rsidRPr="0B95B15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is </w:t>
      </w:r>
      <w:r w:rsidR="6D565033" w:rsidRPr="0B95B156">
        <w:rPr>
          <w:rFonts w:ascii="Cambria" w:hAnsi="Cambria"/>
        </w:rPr>
        <w:t>based on</w:t>
      </w:r>
      <w:r w:rsidR="00B03CE5" w:rsidRPr="0B95B156">
        <w:rPr>
          <w:rFonts w:ascii="Cambria" w:hAnsi="Cambria"/>
        </w:rPr>
        <w:t xml:space="preserve"> the member</w:t>
      </w:r>
      <w:r w:rsidR="6F248988" w:rsidRPr="0B95B156">
        <w:rPr>
          <w:rFonts w:ascii="Cambria" w:hAnsi="Cambria"/>
        </w:rPr>
        <w:t>’s</w:t>
      </w:r>
      <w:r w:rsidR="00B03CE5" w:rsidRPr="0B95B156">
        <w:rPr>
          <w:rFonts w:ascii="Cambria" w:hAnsi="Cambria"/>
        </w:rPr>
        <w:t xml:space="preserve"> average (mode) workload</w:t>
      </w:r>
      <w:r>
        <w:rPr>
          <w:rFonts w:ascii="Cambria" w:hAnsi="Cambria"/>
        </w:rPr>
        <w:t>.</w:t>
      </w:r>
      <w:r w:rsidR="00B03CE5" w:rsidRPr="0B95B156">
        <w:rPr>
          <w:rFonts w:ascii="Cambria" w:hAnsi="Cambria"/>
        </w:rPr>
        <w:t xml:space="preserve"> </w:t>
      </w:r>
    </w:p>
    <w:p w14:paraId="66E486F6" w14:textId="77777777" w:rsidR="00B03CE5" w:rsidRDefault="00B03CE5" w:rsidP="00265199">
      <w:pPr>
        <w:spacing w:line="240" w:lineRule="auto"/>
        <w:contextualSpacing/>
        <w:rPr>
          <w:rFonts w:ascii="Cambria" w:hAnsi="Cambria"/>
        </w:rPr>
      </w:pPr>
    </w:p>
    <w:p w14:paraId="681A8619" w14:textId="77777777" w:rsidR="00B03CE5" w:rsidRDefault="5E580AF8" w:rsidP="00265199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>After 2</w:t>
      </w:r>
      <w:r w:rsidRPr="0B95B156">
        <w:rPr>
          <w:rFonts w:ascii="Cambria" w:hAnsi="Cambria"/>
          <w:vertAlign w:val="superscript"/>
        </w:rPr>
        <w:t>nd</w:t>
      </w:r>
      <w:r w:rsidRPr="0B95B156">
        <w:rPr>
          <w:rFonts w:ascii="Cambria" w:hAnsi="Cambria"/>
        </w:rPr>
        <w:t xml:space="preserve"> consecutive semester of increased assignment </w:t>
      </w:r>
      <w:r w:rsidR="00E2552F" w:rsidRPr="0B95B156">
        <w:rPr>
          <w:rFonts w:ascii="Cambria" w:hAnsi="Cambria"/>
        </w:rPr>
        <w:t>NTT may</w:t>
      </w:r>
      <w:r w:rsidR="00B03CE5" w:rsidRPr="0B95B156">
        <w:rPr>
          <w:rFonts w:ascii="Cambria" w:hAnsi="Cambria"/>
        </w:rPr>
        <w:t xml:space="preserve"> request to </w:t>
      </w:r>
      <w:r w:rsidR="57DF40D0" w:rsidRPr="0B95B156">
        <w:rPr>
          <w:rFonts w:ascii="Cambria" w:hAnsi="Cambria"/>
        </w:rPr>
        <w:t>adjust c</w:t>
      </w:r>
      <w:r w:rsidR="00B03CE5" w:rsidRPr="0B95B156">
        <w:rPr>
          <w:rFonts w:ascii="Cambria" w:hAnsi="Cambria"/>
        </w:rPr>
        <w:t xml:space="preserve">ontinuing </w:t>
      </w:r>
      <w:proofErr w:type="gramStart"/>
      <w:r w:rsidR="00B03CE5" w:rsidRPr="0B95B156">
        <w:rPr>
          <w:rFonts w:ascii="Cambria" w:hAnsi="Cambria"/>
        </w:rPr>
        <w:t>appointment .</w:t>
      </w:r>
      <w:proofErr w:type="gramEnd"/>
      <w:r w:rsidR="00B03CE5" w:rsidRPr="0B95B156">
        <w:rPr>
          <w:rFonts w:ascii="Cambria" w:hAnsi="Cambria"/>
        </w:rPr>
        <w:t xml:space="preserve"> </w:t>
      </w:r>
    </w:p>
    <w:p w14:paraId="5C975B26" w14:textId="77777777" w:rsidR="00B03CE5" w:rsidRDefault="00B03CE5" w:rsidP="00265199">
      <w:pPr>
        <w:spacing w:line="240" w:lineRule="auto"/>
        <w:contextualSpacing/>
        <w:rPr>
          <w:rFonts w:ascii="Cambria" w:hAnsi="Cambria"/>
        </w:rPr>
      </w:pPr>
    </w:p>
    <w:p w14:paraId="3590BA7D" w14:textId="77777777" w:rsidR="00B03CE5" w:rsidRDefault="00FE5AD4" w:rsidP="00265199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>Associate</w:t>
      </w:r>
      <w:r w:rsidR="235693B3" w:rsidRPr="0B95B156">
        <w:rPr>
          <w:rFonts w:ascii="Cambria" w:hAnsi="Cambria"/>
        </w:rPr>
        <w:t>/</w:t>
      </w:r>
      <w:r w:rsidRPr="0B95B156">
        <w:rPr>
          <w:rFonts w:ascii="Cambria" w:hAnsi="Cambria"/>
        </w:rPr>
        <w:t xml:space="preserve"> Clinical Associate Lecturers who have served at 50% FTE or greater for 3 consecutive semesters shall be converted to the rank of Lecturer. </w:t>
      </w:r>
    </w:p>
    <w:p w14:paraId="0C4F26A7" w14:textId="77777777" w:rsidR="00FE5AD4" w:rsidRDefault="00FE5AD4" w:rsidP="00265199">
      <w:pPr>
        <w:spacing w:line="240" w:lineRule="auto"/>
        <w:contextualSpacing/>
        <w:rPr>
          <w:rFonts w:ascii="Cambria" w:hAnsi="Cambria"/>
        </w:rPr>
      </w:pPr>
    </w:p>
    <w:p w14:paraId="538A94F5" w14:textId="77777777" w:rsidR="00FE5AD4" w:rsidRDefault="00EC40BE" w:rsidP="00265199">
      <w:pPr>
        <w:spacing w:line="24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Across the Board Increases </w:t>
      </w:r>
    </w:p>
    <w:p w14:paraId="06814F01" w14:textId="77777777" w:rsidR="00FE5AD4" w:rsidRDefault="00FE5AD4" w:rsidP="00265199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>Eligible bargaining unit members shall receive the following increases:</w:t>
      </w:r>
    </w:p>
    <w:p w14:paraId="29C07E3B" w14:textId="77777777" w:rsidR="00FE5AD4" w:rsidRDefault="00FE5AD4" w:rsidP="00265199">
      <w:pPr>
        <w:spacing w:line="240" w:lineRule="auto"/>
        <w:contextualSpacing/>
        <w:rPr>
          <w:rFonts w:ascii="Cambria" w:hAnsi="Cambr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1444"/>
      </w:tblGrid>
      <w:tr w:rsidR="00FE5AD4" w14:paraId="3B0BDC43" w14:textId="77777777" w:rsidTr="003D18FE">
        <w:trPr>
          <w:jc w:val="center"/>
        </w:trPr>
        <w:tc>
          <w:tcPr>
            <w:tcW w:w="2335" w:type="dxa"/>
          </w:tcPr>
          <w:p w14:paraId="58B75EFF" w14:textId="77777777" w:rsidR="00FE5AD4" w:rsidRPr="0001455C" w:rsidRDefault="00FE5AD4" w:rsidP="003D18FE">
            <w:pPr>
              <w:contextualSpacing/>
              <w:rPr>
                <w:rFonts w:ascii="Cambria" w:hAnsi="Cambria"/>
                <w:b/>
                <w:bCs/>
              </w:rPr>
            </w:pPr>
            <w:r w:rsidRPr="0001455C">
              <w:rPr>
                <w:rFonts w:ascii="Cambria" w:hAnsi="Cambria"/>
                <w:b/>
                <w:bCs/>
              </w:rPr>
              <w:t>Effective Date</w:t>
            </w:r>
          </w:p>
        </w:tc>
        <w:tc>
          <w:tcPr>
            <w:tcW w:w="1440" w:type="dxa"/>
          </w:tcPr>
          <w:p w14:paraId="0DC43402" w14:textId="77777777" w:rsidR="00FE5AD4" w:rsidRPr="0001455C" w:rsidRDefault="00FE5AD4" w:rsidP="003D18FE">
            <w:pPr>
              <w:contextualSpacing/>
              <w:rPr>
                <w:rFonts w:ascii="Cambria" w:hAnsi="Cambria"/>
                <w:b/>
                <w:bCs/>
              </w:rPr>
            </w:pPr>
            <w:r w:rsidRPr="0001455C">
              <w:rPr>
                <w:rFonts w:ascii="Cambria" w:hAnsi="Cambria"/>
                <w:b/>
                <w:bCs/>
              </w:rPr>
              <w:t xml:space="preserve">Percentage </w:t>
            </w:r>
          </w:p>
        </w:tc>
      </w:tr>
      <w:tr w:rsidR="00FE5AD4" w14:paraId="70F41B1F" w14:textId="77777777" w:rsidTr="003D18FE">
        <w:trPr>
          <w:jc w:val="center"/>
        </w:trPr>
        <w:tc>
          <w:tcPr>
            <w:tcW w:w="2335" w:type="dxa"/>
          </w:tcPr>
          <w:p w14:paraId="510DBE45" w14:textId="77777777" w:rsidR="00FE5AD4" w:rsidRDefault="00FE5AD4" w:rsidP="003D18FE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12, 2025</w:t>
            </w:r>
          </w:p>
        </w:tc>
        <w:tc>
          <w:tcPr>
            <w:tcW w:w="1440" w:type="dxa"/>
          </w:tcPr>
          <w:p w14:paraId="1749454B" w14:textId="77777777" w:rsidR="00FE5AD4" w:rsidRDefault="00FE5AD4" w:rsidP="003D18FE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3.5%</w:t>
            </w:r>
          </w:p>
        </w:tc>
      </w:tr>
      <w:tr w:rsidR="00FE5AD4" w14:paraId="21D5E0D3" w14:textId="77777777" w:rsidTr="003D18FE">
        <w:trPr>
          <w:jc w:val="center"/>
        </w:trPr>
        <w:tc>
          <w:tcPr>
            <w:tcW w:w="2335" w:type="dxa"/>
          </w:tcPr>
          <w:p w14:paraId="5FC15C09" w14:textId="77777777" w:rsidR="00FE5AD4" w:rsidRDefault="00FE5AD4" w:rsidP="003D18FE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13, 2025</w:t>
            </w:r>
          </w:p>
        </w:tc>
        <w:tc>
          <w:tcPr>
            <w:tcW w:w="1440" w:type="dxa"/>
          </w:tcPr>
          <w:p w14:paraId="17F4B524" w14:textId="77777777" w:rsidR="00FE5AD4" w:rsidRDefault="00FE5AD4" w:rsidP="003D18FE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2.25%</w:t>
            </w:r>
          </w:p>
        </w:tc>
      </w:tr>
      <w:tr w:rsidR="00FE5AD4" w14:paraId="4945CF0B" w14:textId="77777777" w:rsidTr="003D18FE">
        <w:trPr>
          <w:jc w:val="center"/>
        </w:trPr>
        <w:tc>
          <w:tcPr>
            <w:tcW w:w="2335" w:type="dxa"/>
          </w:tcPr>
          <w:p w14:paraId="251EC1B7" w14:textId="77777777" w:rsidR="00FE5AD4" w:rsidRDefault="00FE5AD4" w:rsidP="003D18FE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11, 2026</w:t>
            </w:r>
          </w:p>
        </w:tc>
        <w:tc>
          <w:tcPr>
            <w:tcW w:w="1440" w:type="dxa"/>
          </w:tcPr>
          <w:p w14:paraId="27FA52C3" w14:textId="77777777" w:rsidR="00FE5AD4" w:rsidRDefault="00FE5AD4" w:rsidP="003D18FE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2.25%</w:t>
            </w:r>
          </w:p>
        </w:tc>
      </w:tr>
      <w:tr w:rsidR="00FE5AD4" w14:paraId="0C1B7619" w14:textId="77777777" w:rsidTr="003D18FE">
        <w:trPr>
          <w:jc w:val="center"/>
        </w:trPr>
        <w:tc>
          <w:tcPr>
            <w:tcW w:w="2335" w:type="dxa"/>
          </w:tcPr>
          <w:p w14:paraId="1624A86C" w14:textId="77777777" w:rsidR="00FE5AD4" w:rsidRDefault="00FE5AD4" w:rsidP="003D18FE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July 12, 2026</w:t>
            </w:r>
          </w:p>
        </w:tc>
        <w:tc>
          <w:tcPr>
            <w:tcW w:w="1440" w:type="dxa"/>
          </w:tcPr>
          <w:p w14:paraId="175DFF65" w14:textId="77777777" w:rsidR="00FE5AD4" w:rsidRDefault="00FE5AD4" w:rsidP="003D18FE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2.25%</w:t>
            </w:r>
          </w:p>
        </w:tc>
      </w:tr>
      <w:tr w:rsidR="00FE5AD4" w14:paraId="64985920" w14:textId="77777777" w:rsidTr="003D18FE">
        <w:trPr>
          <w:jc w:val="center"/>
        </w:trPr>
        <w:tc>
          <w:tcPr>
            <w:tcW w:w="2335" w:type="dxa"/>
          </w:tcPr>
          <w:p w14:paraId="148E5D99" w14:textId="77777777" w:rsidR="00FE5AD4" w:rsidRDefault="00FE5AD4" w:rsidP="003D18FE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10, 2027</w:t>
            </w:r>
          </w:p>
        </w:tc>
        <w:tc>
          <w:tcPr>
            <w:tcW w:w="1440" w:type="dxa"/>
          </w:tcPr>
          <w:p w14:paraId="34A9791F" w14:textId="77777777" w:rsidR="00FE5AD4" w:rsidRDefault="00FE5AD4" w:rsidP="003D18FE">
            <w:pPr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2.25%</w:t>
            </w:r>
          </w:p>
        </w:tc>
      </w:tr>
    </w:tbl>
    <w:p w14:paraId="43A009AD" w14:textId="77777777" w:rsidR="00FE5AD4" w:rsidRDefault="00FE5AD4" w:rsidP="00265199">
      <w:pPr>
        <w:spacing w:line="240" w:lineRule="auto"/>
        <w:contextualSpacing/>
        <w:rPr>
          <w:rFonts w:ascii="Cambria" w:hAnsi="Cambria"/>
        </w:rPr>
      </w:pPr>
    </w:p>
    <w:p w14:paraId="6D9FFEA6" w14:textId="77777777" w:rsidR="00EC40BE" w:rsidRPr="00EC40BE" w:rsidRDefault="00EC40BE" w:rsidP="00265199">
      <w:pPr>
        <w:spacing w:line="240" w:lineRule="auto"/>
        <w:contextualSpacing/>
        <w:rPr>
          <w:rFonts w:ascii="Cambria" w:hAnsi="Cambria"/>
          <w:b/>
          <w:bCs/>
        </w:rPr>
      </w:pPr>
      <w:r w:rsidRPr="00EC40BE">
        <w:rPr>
          <w:rFonts w:ascii="Cambria" w:hAnsi="Cambria"/>
          <w:b/>
          <w:bCs/>
        </w:rPr>
        <w:t>Merit</w:t>
      </w:r>
    </w:p>
    <w:p w14:paraId="2DF9071D" w14:textId="77777777" w:rsidR="00FE5AD4" w:rsidRDefault="00FE5AD4" w:rsidP="00265199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Merit suspended for the life of this agreement. </w:t>
      </w:r>
    </w:p>
    <w:p w14:paraId="4592B116" w14:textId="77777777" w:rsidR="00EC40BE" w:rsidRDefault="00EC40BE" w:rsidP="00265199">
      <w:pPr>
        <w:spacing w:line="240" w:lineRule="auto"/>
        <w:contextualSpacing/>
        <w:rPr>
          <w:rFonts w:ascii="Cambria" w:hAnsi="Cambria"/>
        </w:rPr>
      </w:pPr>
    </w:p>
    <w:p w14:paraId="27A072C2" w14:textId="77777777" w:rsidR="00EC40BE" w:rsidRPr="00EC40BE" w:rsidRDefault="00EC40BE" w:rsidP="00265199">
      <w:pPr>
        <w:spacing w:line="240" w:lineRule="auto"/>
        <w:contextualSpacing/>
        <w:rPr>
          <w:rFonts w:ascii="Cambria" w:hAnsi="Cambria"/>
        </w:rPr>
      </w:pPr>
      <w:r w:rsidRPr="00EC40BE">
        <w:rPr>
          <w:rFonts w:ascii="Cambria" w:hAnsi="Cambria"/>
          <w:b/>
          <w:bCs/>
        </w:rPr>
        <w:t>Promotional Increases</w:t>
      </w:r>
      <w:r w:rsidRPr="00EC40BE">
        <w:rPr>
          <w:rFonts w:ascii="Cambria" w:hAnsi="Cambria"/>
        </w:rPr>
        <w:t xml:space="preserve"> </w:t>
      </w:r>
    </w:p>
    <w:p w14:paraId="515F472E" w14:textId="77777777" w:rsidR="00FE5AD4" w:rsidRDefault="00FE5AD4" w:rsidP="00265199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>The following promotion increases shall be effective July 1, 2024:</w:t>
      </w:r>
    </w:p>
    <w:p w14:paraId="3B15CB98" w14:textId="77777777" w:rsidR="007A3387" w:rsidRDefault="007A3387" w:rsidP="00265199">
      <w:pPr>
        <w:spacing w:line="240" w:lineRule="auto"/>
        <w:contextualSpacing/>
        <w:rPr>
          <w:rFonts w:ascii="Cambria" w:hAnsi="Cambr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190"/>
      </w:tblGrid>
      <w:tr w:rsidR="00284313" w:rsidRPr="00284313" w14:paraId="3F04EA39" w14:textId="77777777" w:rsidTr="008F31FA">
        <w:trPr>
          <w:trHeight w:val="266"/>
          <w:jc w:val="center"/>
        </w:trPr>
        <w:tc>
          <w:tcPr>
            <w:tcW w:w="4860" w:type="dxa"/>
            <w:vAlign w:val="center"/>
          </w:tcPr>
          <w:p w14:paraId="4F3A8D39" w14:textId="77777777" w:rsidR="00284313" w:rsidRPr="00284313" w:rsidRDefault="00284313" w:rsidP="008F31FA">
            <w:pPr>
              <w:spacing w:line="240" w:lineRule="auto"/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284313">
              <w:rPr>
                <w:rFonts w:ascii="Cambria" w:hAnsi="Cambria"/>
                <w:b/>
                <w:bCs/>
              </w:rPr>
              <w:t>For Promotion to the Rank of</w:t>
            </w:r>
          </w:p>
        </w:tc>
        <w:tc>
          <w:tcPr>
            <w:tcW w:w="2190" w:type="dxa"/>
          </w:tcPr>
          <w:p w14:paraId="1448918F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  <w:b/>
                <w:bCs/>
              </w:rPr>
            </w:pPr>
            <w:r w:rsidRPr="00284313">
              <w:rPr>
                <w:rFonts w:ascii="Cambria" w:hAnsi="Cambria"/>
                <w:b/>
                <w:bCs/>
              </w:rPr>
              <w:t xml:space="preserve">Increase to Base Salary for 100% FTE By Rank </w:t>
            </w:r>
          </w:p>
        </w:tc>
      </w:tr>
      <w:tr w:rsidR="00284313" w:rsidRPr="00284313" w14:paraId="59F9A6F4" w14:textId="77777777" w:rsidTr="008F31FA">
        <w:trPr>
          <w:trHeight w:val="137"/>
          <w:jc w:val="center"/>
        </w:trPr>
        <w:tc>
          <w:tcPr>
            <w:tcW w:w="4860" w:type="dxa"/>
          </w:tcPr>
          <w:p w14:paraId="3A9A6D4A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Senior Lecturer/Clinical Senior Lecturer </w:t>
            </w:r>
          </w:p>
        </w:tc>
        <w:tc>
          <w:tcPr>
            <w:tcW w:w="2190" w:type="dxa"/>
          </w:tcPr>
          <w:p w14:paraId="515F8EE4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$6,500</w:t>
            </w:r>
          </w:p>
        </w:tc>
      </w:tr>
      <w:tr w:rsidR="00284313" w:rsidRPr="00284313" w14:paraId="34B73A32" w14:textId="77777777" w:rsidTr="008F31FA">
        <w:trPr>
          <w:trHeight w:val="148"/>
          <w:jc w:val="center"/>
        </w:trPr>
        <w:tc>
          <w:tcPr>
            <w:tcW w:w="4860" w:type="dxa"/>
          </w:tcPr>
          <w:p w14:paraId="5986CE95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Senior Lecturer II/Clinical Senior Lecturer II </w:t>
            </w:r>
          </w:p>
        </w:tc>
        <w:tc>
          <w:tcPr>
            <w:tcW w:w="2190" w:type="dxa"/>
          </w:tcPr>
          <w:p w14:paraId="23B01235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$7,000</w:t>
            </w:r>
          </w:p>
        </w:tc>
      </w:tr>
      <w:tr w:rsidR="00284313" w:rsidRPr="00284313" w14:paraId="3B002C6D" w14:textId="77777777" w:rsidTr="008F31FA">
        <w:trPr>
          <w:trHeight w:val="148"/>
          <w:jc w:val="center"/>
        </w:trPr>
        <w:tc>
          <w:tcPr>
            <w:tcW w:w="4860" w:type="dxa"/>
          </w:tcPr>
          <w:p w14:paraId="744059D1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lastRenderedPageBreak/>
              <w:t xml:space="preserve">Senior Lecturer III/Clinical Senior Lecturer III </w:t>
            </w:r>
          </w:p>
        </w:tc>
        <w:tc>
          <w:tcPr>
            <w:tcW w:w="2190" w:type="dxa"/>
          </w:tcPr>
          <w:p w14:paraId="63C295F8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$7,000</w:t>
            </w:r>
          </w:p>
        </w:tc>
      </w:tr>
      <w:tr w:rsidR="00284313" w:rsidRPr="00284313" w14:paraId="08D5008C" w14:textId="77777777" w:rsidTr="008F31FA">
        <w:trPr>
          <w:trHeight w:val="137"/>
          <w:jc w:val="center"/>
        </w:trPr>
        <w:tc>
          <w:tcPr>
            <w:tcW w:w="4860" w:type="dxa"/>
          </w:tcPr>
          <w:p w14:paraId="10B52991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Clinical Assistant Professor </w:t>
            </w:r>
          </w:p>
        </w:tc>
        <w:tc>
          <w:tcPr>
            <w:tcW w:w="2190" w:type="dxa"/>
          </w:tcPr>
          <w:p w14:paraId="11085C98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$7,500</w:t>
            </w:r>
          </w:p>
        </w:tc>
      </w:tr>
      <w:tr w:rsidR="00284313" w:rsidRPr="00284313" w14:paraId="451EE32E" w14:textId="77777777" w:rsidTr="008F31FA">
        <w:trPr>
          <w:trHeight w:val="137"/>
          <w:jc w:val="center"/>
        </w:trPr>
        <w:tc>
          <w:tcPr>
            <w:tcW w:w="4860" w:type="dxa"/>
          </w:tcPr>
          <w:p w14:paraId="6E82BFB7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Clinical Associate Professor </w:t>
            </w:r>
          </w:p>
        </w:tc>
        <w:tc>
          <w:tcPr>
            <w:tcW w:w="2190" w:type="dxa"/>
          </w:tcPr>
          <w:p w14:paraId="2901CCEA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$8,800</w:t>
            </w:r>
          </w:p>
        </w:tc>
      </w:tr>
      <w:tr w:rsidR="00284313" w:rsidRPr="00284313" w14:paraId="1C17C553" w14:textId="77777777" w:rsidTr="008F31FA">
        <w:trPr>
          <w:trHeight w:val="137"/>
          <w:jc w:val="center"/>
        </w:trPr>
        <w:tc>
          <w:tcPr>
            <w:tcW w:w="4860" w:type="dxa"/>
          </w:tcPr>
          <w:p w14:paraId="4CFE4210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Clinical Professor </w:t>
            </w:r>
          </w:p>
        </w:tc>
        <w:tc>
          <w:tcPr>
            <w:tcW w:w="2190" w:type="dxa"/>
          </w:tcPr>
          <w:p w14:paraId="51393E4C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$14,000</w:t>
            </w:r>
          </w:p>
        </w:tc>
      </w:tr>
      <w:tr w:rsidR="00284313" w:rsidRPr="00284313" w14:paraId="4192B9EA" w14:textId="77777777" w:rsidTr="008F31FA">
        <w:trPr>
          <w:trHeight w:val="137"/>
          <w:jc w:val="center"/>
        </w:trPr>
        <w:tc>
          <w:tcPr>
            <w:tcW w:w="4860" w:type="dxa"/>
          </w:tcPr>
          <w:p w14:paraId="56F9C137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Assistant Professor </w:t>
            </w:r>
          </w:p>
        </w:tc>
        <w:tc>
          <w:tcPr>
            <w:tcW w:w="2190" w:type="dxa"/>
          </w:tcPr>
          <w:p w14:paraId="4676406F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$8,000</w:t>
            </w:r>
          </w:p>
        </w:tc>
      </w:tr>
      <w:tr w:rsidR="00284313" w:rsidRPr="00284313" w14:paraId="6CB85256" w14:textId="77777777" w:rsidTr="008F31FA">
        <w:trPr>
          <w:trHeight w:val="148"/>
          <w:jc w:val="center"/>
        </w:trPr>
        <w:tc>
          <w:tcPr>
            <w:tcW w:w="4860" w:type="dxa"/>
          </w:tcPr>
          <w:p w14:paraId="34F32CCF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Associate Professor </w:t>
            </w:r>
          </w:p>
        </w:tc>
        <w:tc>
          <w:tcPr>
            <w:tcW w:w="2190" w:type="dxa"/>
          </w:tcPr>
          <w:p w14:paraId="700AE321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$11,000</w:t>
            </w:r>
          </w:p>
        </w:tc>
      </w:tr>
      <w:tr w:rsidR="00284313" w:rsidRPr="00284313" w14:paraId="75FCB770" w14:textId="77777777" w:rsidTr="008F31FA">
        <w:trPr>
          <w:trHeight w:val="137"/>
          <w:jc w:val="center"/>
        </w:trPr>
        <w:tc>
          <w:tcPr>
            <w:tcW w:w="4860" w:type="dxa"/>
          </w:tcPr>
          <w:p w14:paraId="763B9610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Professor </w:t>
            </w:r>
          </w:p>
        </w:tc>
        <w:tc>
          <w:tcPr>
            <w:tcW w:w="2190" w:type="dxa"/>
          </w:tcPr>
          <w:p w14:paraId="66F8E882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$14,700</w:t>
            </w:r>
          </w:p>
        </w:tc>
      </w:tr>
      <w:tr w:rsidR="00284313" w:rsidRPr="00284313" w14:paraId="48C89C1F" w14:textId="77777777" w:rsidTr="008F31FA">
        <w:trPr>
          <w:trHeight w:val="148"/>
          <w:jc w:val="center"/>
        </w:trPr>
        <w:tc>
          <w:tcPr>
            <w:tcW w:w="4860" w:type="dxa"/>
          </w:tcPr>
          <w:p w14:paraId="7B163952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Librarian II </w:t>
            </w:r>
          </w:p>
        </w:tc>
        <w:tc>
          <w:tcPr>
            <w:tcW w:w="2190" w:type="dxa"/>
          </w:tcPr>
          <w:p w14:paraId="1EA205E3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$7,000</w:t>
            </w:r>
          </w:p>
        </w:tc>
      </w:tr>
      <w:tr w:rsidR="00284313" w:rsidRPr="00284313" w14:paraId="64076437" w14:textId="77777777" w:rsidTr="008F31FA">
        <w:trPr>
          <w:trHeight w:val="148"/>
          <w:jc w:val="center"/>
        </w:trPr>
        <w:tc>
          <w:tcPr>
            <w:tcW w:w="4860" w:type="dxa"/>
          </w:tcPr>
          <w:p w14:paraId="531A361D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Librarian III </w:t>
            </w:r>
          </w:p>
        </w:tc>
        <w:tc>
          <w:tcPr>
            <w:tcW w:w="2190" w:type="dxa"/>
          </w:tcPr>
          <w:p w14:paraId="2F9AE31C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$8,500</w:t>
            </w:r>
          </w:p>
        </w:tc>
      </w:tr>
      <w:tr w:rsidR="00284313" w:rsidRPr="00284313" w14:paraId="7CA15F51" w14:textId="77777777" w:rsidTr="008F31FA">
        <w:trPr>
          <w:trHeight w:val="148"/>
          <w:jc w:val="center"/>
        </w:trPr>
        <w:tc>
          <w:tcPr>
            <w:tcW w:w="4860" w:type="dxa"/>
          </w:tcPr>
          <w:p w14:paraId="0A9C70EB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Librarian IV </w:t>
            </w:r>
          </w:p>
        </w:tc>
        <w:tc>
          <w:tcPr>
            <w:tcW w:w="2190" w:type="dxa"/>
          </w:tcPr>
          <w:p w14:paraId="2EA4A02B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$10,000</w:t>
            </w:r>
          </w:p>
        </w:tc>
      </w:tr>
      <w:tr w:rsidR="00284313" w:rsidRPr="00284313" w14:paraId="653FC40E" w14:textId="77777777" w:rsidTr="008F31FA">
        <w:trPr>
          <w:trHeight w:val="148"/>
          <w:jc w:val="center"/>
        </w:trPr>
        <w:tc>
          <w:tcPr>
            <w:tcW w:w="4860" w:type="dxa"/>
          </w:tcPr>
          <w:p w14:paraId="55D2B47D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Librarian V </w:t>
            </w:r>
          </w:p>
        </w:tc>
        <w:tc>
          <w:tcPr>
            <w:tcW w:w="2190" w:type="dxa"/>
          </w:tcPr>
          <w:p w14:paraId="0F63083D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$11,000</w:t>
            </w:r>
          </w:p>
        </w:tc>
      </w:tr>
    </w:tbl>
    <w:p w14:paraId="5A513A41" w14:textId="77777777" w:rsidR="00FE5AD4" w:rsidRDefault="00FE5AD4" w:rsidP="00265199">
      <w:pPr>
        <w:spacing w:line="240" w:lineRule="auto"/>
        <w:contextualSpacing/>
        <w:rPr>
          <w:rFonts w:ascii="Cambria" w:hAnsi="Cambria"/>
        </w:rPr>
      </w:pPr>
    </w:p>
    <w:p w14:paraId="7934C266" w14:textId="77777777" w:rsidR="00EC40BE" w:rsidRPr="00EC40BE" w:rsidRDefault="00EC40BE" w:rsidP="00265199">
      <w:pPr>
        <w:spacing w:line="240" w:lineRule="auto"/>
        <w:contextualSpacing/>
        <w:rPr>
          <w:rFonts w:ascii="Cambria" w:hAnsi="Cambria"/>
          <w:b/>
          <w:bCs/>
        </w:rPr>
      </w:pPr>
      <w:r w:rsidRPr="00EC40BE">
        <w:rPr>
          <w:rFonts w:ascii="Cambria" w:hAnsi="Cambria"/>
          <w:b/>
          <w:bCs/>
        </w:rPr>
        <w:t>Salary Floors</w:t>
      </w:r>
    </w:p>
    <w:p w14:paraId="7812CDBE" w14:textId="77777777" w:rsidR="00284313" w:rsidRDefault="00284313" w:rsidP="00265199">
      <w:pPr>
        <w:spacing w:line="240" w:lineRule="auto"/>
        <w:contextualSpacing/>
        <w:rPr>
          <w:rFonts w:ascii="Cambria" w:hAnsi="Cambria"/>
        </w:rPr>
      </w:pPr>
      <w:r w:rsidRPr="00284313">
        <w:rPr>
          <w:rFonts w:ascii="Cambria" w:hAnsi="Cambria"/>
        </w:rPr>
        <w:t xml:space="preserve">The salary </w:t>
      </w:r>
      <w:r>
        <w:rPr>
          <w:rFonts w:ascii="Cambria" w:eastAsia="Cambria" w:hAnsi="Cambria" w:cs="Cambria"/>
        </w:rPr>
        <w:t>f</w:t>
      </w:r>
      <w:r w:rsidRPr="00284313">
        <w:rPr>
          <w:rFonts w:ascii="Cambria" w:hAnsi="Cambria"/>
        </w:rPr>
        <w:t xml:space="preserve">loors for all bargaining-unit members shall be as follows, effective September 1, </w:t>
      </w:r>
      <w:proofErr w:type="gramStart"/>
      <w:r w:rsidRPr="00284313">
        <w:rPr>
          <w:rFonts w:ascii="Cambria" w:hAnsi="Cambria"/>
        </w:rPr>
        <w:t>2025</w:t>
      </w:r>
      <w:proofErr w:type="gramEnd"/>
      <w:r w:rsidRPr="00284313">
        <w:rPr>
          <w:rFonts w:ascii="Cambria" w:hAnsi="Cambria"/>
        </w:rPr>
        <w:t xml:space="preserve"> and after the ATB that are effective prior to September 1, 2025, or upon the </w:t>
      </w:r>
      <w:r>
        <w:rPr>
          <w:rFonts w:ascii="Cambria" w:eastAsia="Cambria" w:hAnsi="Cambria" w:cs="Cambria"/>
        </w:rPr>
        <w:t>f</w:t>
      </w:r>
      <w:r w:rsidRPr="00284313">
        <w:rPr>
          <w:rFonts w:ascii="Cambria" w:hAnsi="Cambria"/>
        </w:rPr>
        <w:t>irst full pay period following the execution of this agreement, whichever is later:</w:t>
      </w:r>
    </w:p>
    <w:p w14:paraId="046BFA9F" w14:textId="77777777" w:rsidR="00284313" w:rsidRDefault="00284313" w:rsidP="00265199">
      <w:pPr>
        <w:spacing w:line="240" w:lineRule="auto"/>
        <w:contextualSpacing/>
        <w:rPr>
          <w:rFonts w:ascii="Cambria" w:hAnsi="Cambr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5"/>
        <w:gridCol w:w="2543"/>
      </w:tblGrid>
      <w:tr w:rsidR="00284313" w:rsidRPr="00284313" w14:paraId="7EFDC754" w14:textId="77777777" w:rsidTr="008F31FA">
        <w:trPr>
          <w:trHeight w:val="278"/>
          <w:jc w:val="center"/>
        </w:trPr>
        <w:tc>
          <w:tcPr>
            <w:tcW w:w="3865" w:type="dxa"/>
            <w:vAlign w:val="center"/>
          </w:tcPr>
          <w:p w14:paraId="3D7A5E55" w14:textId="77777777" w:rsidR="00284313" w:rsidRPr="00284313" w:rsidRDefault="00284313" w:rsidP="008F31FA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  <w:b/>
                <w:bCs/>
              </w:rPr>
              <w:t>Rank</w:t>
            </w:r>
          </w:p>
        </w:tc>
        <w:tc>
          <w:tcPr>
            <w:tcW w:w="2543" w:type="dxa"/>
          </w:tcPr>
          <w:p w14:paraId="1A81C20A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  <w:b/>
                <w:bCs/>
              </w:rPr>
              <w:t xml:space="preserve">Base Salary Floor for 100% FTE by Rank </w:t>
            </w:r>
          </w:p>
        </w:tc>
      </w:tr>
      <w:tr w:rsidR="00284313" w:rsidRPr="00284313" w14:paraId="00C9241F" w14:textId="77777777" w:rsidTr="008F31FA">
        <w:trPr>
          <w:trHeight w:val="148"/>
          <w:jc w:val="center"/>
        </w:trPr>
        <w:tc>
          <w:tcPr>
            <w:tcW w:w="3865" w:type="dxa"/>
          </w:tcPr>
          <w:p w14:paraId="68D4EF94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Instructor </w:t>
            </w:r>
          </w:p>
        </w:tc>
        <w:tc>
          <w:tcPr>
            <w:tcW w:w="2543" w:type="dxa"/>
          </w:tcPr>
          <w:p w14:paraId="4BF7E997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$67,000</w:t>
            </w:r>
          </w:p>
        </w:tc>
      </w:tr>
      <w:tr w:rsidR="00284313" w:rsidRPr="00284313" w14:paraId="352A7181" w14:textId="77777777" w:rsidTr="008F31FA">
        <w:trPr>
          <w:trHeight w:val="148"/>
          <w:jc w:val="center"/>
        </w:trPr>
        <w:tc>
          <w:tcPr>
            <w:tcW w:w="3865" w:type="dxa"/>
          </w:tcPr>
          <w:p w14:paraId="3F7B59B5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Assistant Professor </w:t>
            </w:r>
          </w:p>
        </w:tc>
        <w:tc>
          <w:tcPr>
            <w:tcW w:w="2543" w:type="dxa"/>
          </w:tcPr>
          <w:p w14:paraId="7A2D412E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$80,000</w:t>
            </w:r>
          </w:p>
        </w:tc>
      </w:tr>
      <w:tr w:rsidR="00284313" w:rsidRPr="00284313" w14:paraId="4F15F8C4" w14:textId="77777777" w:rsidTr="008F31FA">
        <w:trPr>
          <w:trHeight w:val="148"/>
          <w:jc w:val="center"/>
        </w:trPr>
        <w:tc>
          <w:tcPr>
            <w:tcW w:w="3865" w:type="dxa"/>
          </w:tcPr>
          <w:p w14:paraId="38513C01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Associate Professor </w:t>
            </w:r>
          </w:p>
        </w:tc>
        <w:tc>
          <w:tcPr>
            <w:tcW w:w="2543" w:type="dxa"/>
          </w:tcPr>
          <w:p w14:paraId="1F77B98C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$88,000</w:t>
            </w:r>
          </w:p>
        </w:tc>
      </w:tr>
      <w:tr w:rsidR="00284313" w:rsidRPr="00284313" w14:paraId="12597646" w14:textId="77777777" w:rsidTr="008F31FA">
        <w:trPr>
          <w:trHeight w:val="148"/>
          <w:jc w:val="center"/>
        </w:trPr>
        <w:tc>
          <w:tcPr>
            <w:tcW w:w="3865" w:type="dxa"/>
          </w:tcPr>
          <w:p w14:paraId="18F546EE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Professor </w:t>
            </w:r>
          </w:p>
        </w:tc>
        <w:tc>
          <w:tcPr>
            <w:tcW w:w="2543" w:type="dxa"/>
          </w:tcPr>
          <w:p w14:paraId="14AED621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$110,000</w:t>
            </w:r>
          </w:p>
        </w:tc>
      </w:tr>
      <w:tr w:rsidR="00284313" w:rsidRPr="00284313" w14:paraId="5288C7D1" w14:textId="77777777" w:rsidTr="008F31FA">
        <w:trPr>
          <w:trHeight w:val="148"/>
          <w:jc w:val="center"/>
        </w:trPr>
        <w:tc>
          <w:tcPr>
            <w:tcW w:w="3865" w:type="dxa"/>
          </w:tcPr>
          <w:p w14:paraId="0D1B1D72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Lecturer/Clinical Lecturer </w:t>
            </w:r>
          </w:p>
        </w:tc>
        <w:tc>
          <w:tcPr>
            <w:tcW w:w="2543" w:type="dxa"/>
          </w:tcPr>
          <w:p w14:paraId="644552DD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$60,000</w:t>
            </w:r>
          </w:p>
        </w:tc>
      </w:tr>
      <w:tr w:rsidR="00284313" w:rsidRPr="00284313" w14:paraId="4589D5A3" w14:textId="77777777" w:rsidTr="008F31FA">
        <w:trPr>
          <w:trHeight w:val="148"/>
          <w:jc w:val="center"/>
        </w:trPr>
        <w:tc>
          <w:tcPr>
            <w:tcW w:w="3865" w:type="dxa"/>
          </w:tcPr>
          <w:p w14:paraId="64668D77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Senior Lecturer/Clinical Senior Lecturer </w:t>
            </w:r>
          </w:p>
        </w:tc>
        <w:tc>
          <w:tcPr>
            <w:tcW w:w="2543" w:type="dxa"/>
          </w:tcPr>
          <w:p w14:paraId="4D4E07B0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$70,000</w:t>
            </w:r>
          </w:p>
        </w:tc>
      </w:tr>
      <w:tr w:rsidR="00284313" w:rsidRPr="00284313" w14:paraId="3DB1091C" w14:textId="77777777" w:rsidTr="008F31FA">
        <w:trPr>
          <w:trHeight w:val="148"/>
          <w:jc w:val="center"/>
        </w:trPr>
        <w:tc>
          <w:tcPr>
            <w:tcW w:w="3865" w:type="dxa"/>
          </w:tcPr>
          <w:p w14:paraId="53D59ADE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Senior Lecturer II/Clinical Senior Lecturer II </w:t>
            </w:r>
          </w:p>
        </w:tc>
        <w:tc>
          <w:tcPr>
            <w:tcW w:w="2543" w:type="dxa"/>
          </w:tcPr>
          <w:p w14:paraId="44A30985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$73,000</w:t>
            </w:r>
          </w:p>
        </w:tc>
      </w:tr>
      <w:tr w:rsidR="00284313" w:rsidRPr="00284313" w14:paraId="62C8D26E" w14:textId="77777777" w:rsidTr="008F31FA">
        <w:trPr>
          <w:trHeight w:val="148"/>
          <w:jc w:val="center"/>
        </w:trPr>
        <w:tc>
          <w:tcPr>
            <w:tcW w:w="3865" w:type="dxa"/>
          </w:tcPr>
          <w:p w14:paraId="4BB75030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Senior Lecturer III/Clinical Senior Lecturer III </w:t>
            </w:r>
          </w:p>
        </w:tc>
        <w:tc>
          <w:tcPr>
            <w:tcW w:w="2543" w:type="dxa"/>
          </w:tcPr>
          <w:p w14:paraId="528C132F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$76,000</w:t>
            </w:r>
          </w:p>
        </w:tc>
      </w:tr>
      <w:tr w:rsidR="00284313" w:rsidRPr="00284313" w14:paraId="4C3548D0" w14:textId="77777777" w:rsidTr="008F31FA">
        <w:trPr>
          <w:trHeight w:val="148"/>
          <w:jc w:val="center"/>
        </w:trPr>
        <w:tc>
          <w:tcPr>
            <w:tcW w:w="3865" w:type="dxa"/>
          </w:tcPr>
          <w:p w14:paraId="4D3DB66E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Clinical Assistant Professor </w:t>
            </w:r>
          </w:p>
        </w:tc>
        <w:tc>
          <w:tcPr>
            <w:tcW w:w="2543" w:type="dxa"/>
          </w:tcPr>
          <w:p w14:paraId="538C6616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$75,000</w:t>
            </w:r>
          </w:p>
        </w:tc>
      </w:tr>
      <w:tr w:rsidR="00284313" w:rsidRPr="00284313" w14:paraId="33BC5F89" w14:textId="77777777" w:rsidTr="008F31FA">
        <w:trPr>
          <w:trHeight w:val="148"/>
          <w:jc w:val="center"/>
        </w:trPr>
        <w:tc>
          <w:tcPr>
            <w:tcW w:w="3865" w:type="dxa"/>
          </w:tcPr>
          <w:p w14:paraId="33371FD7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Clinical Associate Professor </w:t>
            </w:r>
          </w:p>
        </w:tc>
        <w:tc>
          <w:tcPr>
            <w:tcW w:w="2543" w:type="dxa"/>
          </w:tcPr>
          <w:p w14:paraId="64CD517F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$86,000</w:t>
            </w:r>
          </w:p>
        </w:tc>
      </w:tr>
      <w:tr w:rsidR="00284313" w:rsidRPr="00284313" w14:paraId="1F7D534C" w14:textId="77777777" w:rsidTr="008F31FA">
        <w:trPr>
          <w:trHeight w:val="148"/>
          <w:jc w:val="center"/>
        </w:trPr>
        <w:tc>
          <w:tcPr>
            <w:tcW w:w="3865" w:type="dxa"/>
          </w:tcPr>
          <w:p w14:paraId="5CA9E1E9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Clinical Professor </w:t>
            </w:r>
          </w:p>
        </w:tc>
        <w:tc>
          <w:tcPr>
            <w:tcW w:w="2543" w:type="dxa"/>
          </w:tcPr>
          <w:p w14:paraId="7C4C8AFF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$108,000</w:t>
            </w:r>
          </w:p>
        </w:tc>
      </w:tr>
      <w:tr w:rsidR="00284313" w:rsidRPr="00284313" w14:paraId="28742AB0" w14:textId="77777777" w:rsidTr="008F31FA">
        <w:trPr>
          <w:trHeight w:val="148"/>
          <w:jc w:val="center"/>
        </w:trPr>
        <w:tc>
          <w:tcPr>
            <w:tcW w:w="3865" w:type="dxa"/>
          </w:tcPr>
          <w:p w14:paraId="25F14B6D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Librarian I </w:t>
            </w:r>
          </w:p>
        </w:tc>
        <w:tc>
          <w:tcPr>
            <w:tcW w:w="2543" w:type="dxa"/>
          </w:tcPr>
          <w:p w14:paraId="34E74CA5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$62,000</w:t>
            </w:r>
          </w:p>
        </w:tc>
      </w:tr>
      <w:tr w:rsidR="00284313" w:rsidRPr="00284313" w14:paraId="47591CB8" w14:textId="77777777" w:rsidTr="008F31FA">
        <w:trPr>
          <w:trHeight w:val="148"/>
          <w:jc w:val="center"/>
        </w:trPr>
        <w:tc>
          <w:tcPr>
            <w:tcW w:w="3865" w:type="dxa"/>
          </w:tcPr>
          <w:p w14:paraId="0B966620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Librarian II </w:t>
            </w:r>
          </w:p>
        </w:tc>
        <w:tc>
          <w:tcPr>
            <w:tcW w:w="2543" w:type="dxa"/>
          </w:tcPr>
          <w:p w14:paraId="23D89858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$67,000</w:t>
            </w:r>
          </w:p>
        </w:tc>
      </w:tr>
      <w:tr w:rsidR="00284313" w:rsidRPr="00284313" w14:paraId="07632847" w14:textId="77777777" w:rsidTr="008F31FA">
        <w:trPr>
          <w:trHeight w:val="148"/>
          <w:jc w:val="center"/>
        </w:trPr>
        <w:tc>
          <w:tcPr>
            <w:tcW w:w="3865" w:type="dxa"/>
          </w:tcPr>
          <w:p w14:paraId="40AF93E3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Librarian III </w:t>
            </w:r>
          </w:p>
        </w:tc>
        <w:tc>
          <w:tcPr>
            <w:tcW w:w="2543" w:type="dxa"/>
          </w:tcPr>
          <w:p w14:paraId="2AC94B86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$76,000</w:t>
            </w:r>
          </w:p>
        </w:tc>
      </w:tr>
      <w:tr w:rsidR="00284313" w:rsidRPr="00284313" w14:paraId="506E1901" w14:textId="77777777" w:rsidTr="008F31FA">
        <w:trPr>
          <w:trHeight w:val="148"/>
          <w:jc w:val="center"/>
        </w:trPr>
        <w:tc>
          <w:tcPr>
            <w:tcW w:w="3865" w:type="dxa"/>
          </w:tcPr>
          <w:p w14:paraId="020CE20C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Librarian IV </w:t>
            </w:r>
          </w:p>
        </w:tc>
        <w:tc>
          <w:tcPr>
            <w:tcW w:w="2543" w:type="dxa"/>
          </w:tcPr>
          <w:p w14:paraId="434886F4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$86,000</w:t>
            </w:r>
          </w:p>
        </w:tc>
      </w:tr>
      <w:tr w:rsidR="00284313" w:rsidRPr="00284313" w14:paraId="325BFBDB" w14:textId="77777777" w:rsidTr="008F31FA">
        <w:trPr>
          <w:trHeight w:val="148"/>
          <w:jc w:val="center"/>
        </w:trPr>
        <w:tc>
          <w:tcPr>
            <w:tcW w:w="3865" w:type="dxa"/>
          </w:tcPr>
          <w:p w14:paraId="2AC22E74" w14:textId="77777777" w:rsidR="00284313" w:rsidRPr="00284313" w:rsidRDefault="00284313" w:rsidP="00284313">
            <w:pPr>
              <w:spacing w:line="240" w:lineRule="auto"/>
              <w:contextualSpacing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 xml:space="preserve">Librarian V </w:t>
            </w:r>
          </w:p>
        </w:tc>
        <w:tc>
          <w:tcPr>
            <w:tcW w:w="2543" w:type="dxa"/>
          </w:tcPr>
          <w:p w14:paraId="767CF1FA" w14:textId="77777777" w:rsidR="00284313" w:rsidRPr="00284313" w:rsidRDefault="00284313" w:rsidP="00284313">
            <w:pPr>
              <w:spacing w:line="240" w:lineRule="auto"/>
              <w:contextualSpacing/>
              <w:jc w:val="center"/>
              <w:rPr>
                <w:rFonts w:ascii="Cambria" w:hAnsi="Cambria"/>
              </w:rPr>
            </w:pPr>
            <w:r w:rsidRPr="00284313">
              <w:rPr>
                <w:rFonts w:ascii="Cambria" w:hAnsi="Cambria"/>
              </w:rPr>
              <w:t>$97,000</w:t>
            </w:r>
          </w:p>
        </w:tc>
      </w:tr>
    </w:tbl>
    <w:p w14:paraId="0DD9DA1A" w14:textId="77777777" w:rsidR="00E2552F" w:rsidRDefault="00E2552F" w:rsidP="00265199">
      <w:pPr>
        <w:spacing w:line="240" w:lineRule="auto"/>
        <w:contextualSpacing/>
        <w:rPr>
          <w:rFonts w:ascii="Cambria" w:hAnsi="Cambria"/>
          <w:b/>
          <w:bCs/>
        </w:rPr>
      </w:pPr>
    </w:p>
    <w:p w14:paraId="7990CD3E" w14:textId="77777777" w:rsidR="00EC40BE" w:rsidRPr="00EC40BE" w:rsidRDefault="00EC40BE" w:rsidP="00265199">
      <w:pPr>
        <w:spacing w:line="240" w:lineRule="auto"/>
        <w:contextualSpacing/>
        <w:rPr>
          <w:rFonts w:ascii="Cambria" w:hAnsi="Cambria"/>
          <w:b/>
          <w:bCs/>
        </w:rPr>
      </w:pPr>
      <w:r w:rsidRPr="00EC40BE">
        <w:rPr>
          <w:rFonts w:ascii="Cambria" w:hAnsi="Cambria"/>
          <w:b/>
          <w:bCs/>
        </w:rPr>
        <w:t>Associate and Clinical Associate Lecturer Per Course Rate</w:t>
      </w:r>
    </w:p>
    <w:p w14:paraId="431EAD66" w14:textId="77777777" w:rsidR="00284313" w:rsidRDefault="00EC40BE" w:rsidP="00265199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The Associate Lecturer and Clinical Associate Lecturer rate shall increase to $5,800 effective September 1, 2025. Effective September 1, 2026, the rate shall increase to $6,000. </w:t>
      </w:r>
    </w:p>
    <w:p w14:paraId="0AEEEEDC" w14:textId="77777777" w:rsidR="00EC40BE" w:rsidRDefault="00EC40BE" w:rsidP="00265199">
      <w:pPr>
        <w:spacing w:line="240" w:lineRule="auto"/>
        <w:contextualSpacing/>
        <w:rPr>
          <w:rFonts w:ascii="Cambria" w:hAnsi="Cambria"/>
        </w:rPr>
      </w:pPr>
    </w:p>
    <w:p w14:paraId="0B4E285F" w14:textId="77777777" w:rsidR="00EC40BE" w:rsidRPr="00EC40BE" w:rsidRDefault="00EC40BE" w:rsidP="00265199">
      <w:pPr>
        <w:spacing w:line="240" w:lineRule="auto"/>
        <w:contextualSpacing/>
        <w:rPr>
          <w:rFonts w:ascii="Cambria" w:hAnsi="Cambria"/>
          <w:b/>
          <w:bCs/>
        </w:rPr>
      </w:pPr>
      <w:r w:rsidRPr="00EC40BE">
        <w:rPr>
          <w:rFonts w:ascii="Cambria" w:hAnsi="Cambria"/>
          <w:b/>
          <w:bCs/>
        </w:rPr>
        <w:lastRenderedPageBreak/>
        <w:t>NTT &amp; Librarian Professional Development Funds (Previously RES)</w:t>
      </w:r>
    </w:p>
    <w:p w14:paraId="506F6BB3" w14:textId="77777777" w:rsidR="00B03CE5" w:rsidRDefault="00EC40BE" w:rsidP="00265199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A total of $100,000 will be reserved exclusively for the support of non-tenure track faculty and librarians. </w:t>
      </w:r>
    </w:p>
    <w:p w14:paraId="5D838BCA" w14:textId="77777777" w:rsidR="00EC40BE" w:rsidRDefault="00EC40BE" w:rsidP="00265199">
      <w:pPr>
        <w:spacing w:line="240" w:lineRule="auto"/>
        <w:contextualSpacing/>
        <w:rPr>
          <w:rFonts w:ascii="Cambria" w:hAnsi="Cambria"/>
        </w:rPr>
      </w:pPr>
    </w:p>
    <w:p w14:paraId="1A96B574" w14:textId="77777777" w:rsidR="00EC40BE" w:rsidRPr="00EC40BE" w:rsidRDefault="00EC40BE" w:rsidP="00265199">
      <w:pPr>
        <w:spacing w:line="240" w:lineRule="auto"/>
        <w:contextualSpacing/>
        <w:rPr>
          <w:rFonts w:ascii="Cambria" w:hAnsi="Cambria"/>
          <w:b/>
          <w:bCs/>
        </w:rPr>
      </w:pPr>
      <w:r w:rsidRPr="00EC40BE">
        <w:rPr>
          <w:rFonts w:ascii="Cambria" w:hAnsi="Cambria"/>
          <w:b/>
          <w:bCs/>
        </w:rPr>
        <w:t xml:space="preserve">Anti-Racism Activities Fund </w:t>
      </w:r>
    </w:p>
    <w:p w14:paraId="22BBDA4A" w14:textId="77777777" w:rsidR="00EC40BE" w:rsidRDefault="7E1AF62B" w:rsidP="00265199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>Increased</w:t>
      </w:r>
      <w:r w:rsidR="00EC40BE" w:rsidRPr="0B95B156">
        <w:rPr>
          <w:rFonts w:ascii="Cambria" w:hAnsi="Cambria"/>
        </w:rPr>
        <w:t xml:space="preserve"> from $45,000 to $50,000. </w:t>
      </w:r>
    </w:p>
    <w:p w14:paraId="1BB216BC" w14:textId="77777777" w:rsidR="00EC40BE" w:rsidRDefault="00EC40BE" w:rsidP="00265199">
      <w:pPr>
        <w:spacing w:line="240" w:lineRule="auto"/>
        <w:contextualSpacing/>
        <w:rPr>
          <w:rFonts w:ascii="Cambria" w:hAnsi="Cambria"/>
        </w:rPr>
      </w:pPr>
    </w:p>
    <w:p w14:paraId="1A1EF993" w14:textId="77777777" w:rsidR="00EC40BE" w:rsidRPr="00E2552F" w:rsidRDefault="00EC40BE" w:rsidP="00265199">
      <w:pPr>
        <w:spacing w:line="240" w:lineRule="auto"/>
        <w:contextualSpacing/>
        <w:rPr>
          <w:rFonts w:ascii="Cambria" w:hAnsi="Cambria"/>
          <w:b/>
          <w:bCs/>
        </w:rPr>
      </w:pPr>
      <w:r w:rsidRPr="00E2552F">
        <w:rPr>
          <w:rFonts w:ascii="Cambria" w:hAnsi="Cambria"/>
          <w:b/>
          <w:bCs/>
        </w:rPr>
        <w:t>Travel Funds</w:t>
      </w:r>
    </w:p>
    <w:p w14:paraId="3159369F" w14:textId="77777777" w:rsidR="00EC40BE" w:rsidRDefault="3BE208C0" w:rsidP="00265199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>T</w:t>
      </w:r>
      <w:r w:rsidR="00EC40BE" w:rsidRPr="0B95B156">
        <w:rPr>
          <w:rFonts w:ascii="Cambria" w:hAnsi="Cambria"/>
        </w:rPr>
        <w:t xml:space="preserve">enured or tenure-track faculty, librarians, and </w:t>
      </w:r>
      <w:r w:rsidR="28347FE2" w:rsidRPr="0B95B156">
        <w:rPr>
          <w:rFonts w:ascii="Cambria" w:hAnsi="Cambria"/>
        </w:rPr>
        <w:t xml:space="preserve">all ranks </w:t>
      </w:r>
      <w:r w:rsidR="00EC40BE" w:rsidRPr="0B95B156">
        <w:rPr>
          <w:rFonts w:ascii="Cambria" w:hAnsi="Cambria"/>
        </w:rPr>
        <w:t xml:space="preserve">Clinical </w:t>
      </w:r>
      <w:r w:rsidR="00E2552F" w:rsidRPr="0B95B156">
        <w:rPr>
          <w:rFonts w:ascii="Cambria" w:hAnsi="Cambria"/>
        </w:rPr>
        <w:t>faculty increase</w:t>
      </w:r>
      <w:r w:rsidR="001F75CB" w:rsidRPr="0B95B156">
        <w:rPr>
          <w:rFonts w:ascii="Cambria" w:hAnsi="Cambria"/>
        </w:rPr>
        <w:t xml:space="preserve"> from $350,000 to $400,000</w:t>
      </w:r>
      <w:r w:rsidR="0BF60E36" w:rsidRPr="0B95B156">
        <w:rPr>
          <w:rFonts w:ascii="Cambria" w:hAnsi="Cambria"/>
        </w:rPr>
        <w:t>;</w:t>
      </w:r>
      <w:r w:rsidR="001F75CB" w:rsidRPr="0B95B156">
        <w:rPr>
          <w:rFonts w:ascii="Cambria" w:hAnsi="Cambria"/>
        </w:rPr>
        <w:t xml:space="preserve"> </w:t>
      </w:r>
      <w:r w:rsidR="098B3B16" w:rsidRPr="0B95B156">
        <w:rPr>
          <w:rFonts w:ascii="Cambria" w:hAnsi="Cambria"/>
        </w:rPr>
        <w:t xml:space="preserve">$1,700 limit; </w:t>
      </w:r>
      <w:r w:rsidR="001F75CB" w:rsidRPr="0B95B156">
        <w:rPr>
          <w:rFonts w:ascii="Cambria" w:hAnsi="Cambria"/>
        </w:rPr>
        <w:t xml:space="preserve">reimbursement for professional memberships when tied to conference attendance.  </w:t>
      </w:r>
    </w:p>
    <w:p w14:paraId="469150C5" w14:textId="77777777" w:rsidR="001F75CB" w:rsidRDefault="001F75CB" w:rsidP="00265199">
      <w:pPr>
        <w:spacing w:line="240" w:lineRule="auto"/>
        <w:contextualSpacing/>
        <w:rPr>
          <w:rFonts w:ascii="Cambria" w:hAnsi="Cambria"/>
        </w:rPr>
      </w:pPr>
    </w:p>
    <w:p w14:paraId="4FD47BB1" w14:textId="77777777" w:rsidR="001F75CB" w:rsidRPr="001F75CB" w:rsidRDefault="001F75CB" w:rsidP="00265199">
      <w:pPr>
        <w:spacing w:line="240" w:lineRule="auto"/>
        <w:contextualSpacing/>
        <w:rPr>
          <w:rFonts w:ascii="Cambria" w:hAnsi="Cambria"/>
          <w:b/>
          <w:bCs/>
        </w:rPr>
      </w:pPr>
      <w:r w:rsidRPr="001F75CB">
        <w:rPr>
          <w:rFonts w:ascii="Cambria" w:hAnsi="Cambria"/>
          <w:b/>
          <w:bCs/>
        </w:rPr>
        <w:t xml:space="preserve">Anomaly Funds </w:t>
      </w:r>
    </w:p>
    <w:p w14:paraId="259A253F" w14:textId="77777777" w:rsidR="001F75CB" w:rsidRDefault="001F75CB" w:rsidP="00265199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The pool available to address anomalies </w:t>
      </w:r>
      <w:r w:rsidR="00E2552F" w:rsidRPr="0B95B156">
        <w:rPr>
          <w:rFonts w:ascii="Cambria" w:hAnsi="Cambria"/>
        </w:rPr>
        <w:t>increased</w:t>
      </w:r>
      <w:r w:rsidRPr="0B95B156">
        <w:rPr>
          <w:rFonts w:ascii="Cambria" w:hAnsi="Cambria"/>
        </w:rPr>
        <w:t xml:space="preserve"> from $60,000 to $70,000. </w:t>
      </w:r>
    </w:p>
    <w:p w14:paraId="2593A39A" w14:textId="77777777" w:rsidR="001F75CB" w:rsidRDefault="001F75CB" w:rsidP="00265199">
      <w:pPr>
        <w:spacing w:line="240" w:lineRule="auto"/>
        <w:contextualSpacing/>
        <w:rPr>
          <w:rFonts w:ascii="Cambria" w:hAnsi="Cambria"/>
        </w:rPr>
      </w:pPr>
    </w:p>
    <w:p w14:paraId="2BF809E3" w14:textId="77777777" w:rsidR="001F75CB" w:rsidRDefault="001F75CB" w:rsidP="00265199">
      <w:pPr>
        <w:spacing w:line="240" w:lineRule="auto"/>
        <w:contextualSpacing/>
        <w:rPr>
          <w:rFonts w:ascii="Cambria" w:hAnsi="Cambria"/>
          <w:b/>
          <w:bCs/>
        </w:rPr>
      </w:pPr>
      <w:r w:rsidRPr="001F75CB">
        <w:rPr>
          <w:rFonts w:ascii="Cambria" w:hAnsi="Cambria"/>
          <w:b/>
          <w:bCs/>
        </w:rPr>
        <w:t>Personal Leave</w:t>
      </w:r>
    </w:p>
    <w:p w14:paraId="65A0131E" w14:textId="77777777" w:rsidR="001F75CB" w:rsidRDefault="001F75CB" w:rsidP="00265199">
      <w:pPr>
        <w:spacing w:line="240" w:lineRule="auto"/>
        <w:contextualSpacing/>
        <w:rPr>
          <w:rFonts w:ascii="Cambria" w:hAnsi="Cambria"/>
        </w:rPr>
      </w:pPr>
      <w:r w:rsidRPr="001F75CB">
        <w:rPr>
          <w:rFonts w:ascii="Cambria" w:hAnsi="Cambria"/>
        </w:rPr>
        <w:t>Full time faculty on calendar-year appointments and librarians shall receive 5 paid personal leave days each January</w:t>
      </w:r>
      <w:r>
        <w:rPr>
          <w:rFonts w:ascii="Cambria" w:hAnsi="Cambria"/>
        </w:rPr>
        <w:t xml:space="preserve"> provided that one day shall be automatically dedicated to the day after Thanksgiving, unless the employee opts to work remotely on that day</w:t>
      </w:r>
      <w:r w:rsidRPr="001F75CB">
        <w:rPr>
          <w:rFonts w:ascii="Cambria" w:hAnsi="Cambria"/>
        </w:rPr>
        <w:t xml:space="preserve">. </w:t>
      </w:r>
    </w:p>
    <w:p w14:paraId="490A54F1" w14:textId="77777777" w:rsidR="004D5B9B" w:rsidRPr="001F75CB" w:rsidRDefault="004D5B9B" w:rsidP="00265199">
      <w:pPr>
        <w:spacing w:line="240" w:lineRule="auto"/>
        <w:contextualSpacing/>
        <w:rPr>
          <w:rFonts w:ascii="Cambria" w:hAnsi="Cambria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2970"/>
      </w:tblGrid>
      <w:tr w:rsidR="004D5B9B" w:rsidRPr="004D5B9B" w14:paraId="4F4FCBAD" w14:textId="77777777" w:rsidTr="004D5B9B">
        <w:trPr>
          <w:trHeight w:val="137"/>
          <w:jc w:val="center"/>
        </w:trPr>
        <w:tc>
          <w:tcPr>
            <w:tcW w:w="13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6982BC" w14:textId="77777777" w:rsidR="004D5B9B" w:rsidRPr="004D5B9B" w:rsidRDefault="004D5B9B" w:rsidP="004D5B9B">
            <w:pPr>
              <w:spacing w:line="240" w:lineRule="auto"/>
              <w:contextualSpacing/>
              <w:rPr>
                <w:rFonts w:ascii="Cambria" w:hAnsi="Cambria"/>
                <w:b/>
                <w:bCs/>
              </w:rPr>
            </w:pPr>
            <w:r w:rsidRPr="004D5B9B">
              <w:rPr>
                <w:rFonts w:ascii="Cambria" w:hAnsi="Cambria"/>
                <w:b/>
                <w:bCs/>
              </w:rPr>
              <w:t xml:space="preserve">Start Date </w:t>
            </w:r>
          </w:p>
        </w:tc>
        <w:tc>
          <w:tcPr>
            <w:tcW w:w="29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C93053" w14:textId="77777777" w:rsidR="004D5B9B" w:rsidRPr="004D5B9B" w:rsidRDefault="004D5B9B" w:rsidP="004D5B9B">
            <w:pPr>
              <w:spacing w:line="240" w:lineRule="auto"/>
              <w:contextualSpacing/>
              <w:rPr>
                <w:rFonts w:ascii="Cambria" w:hAnsi="Cambria"/>
                <w:b/>
                <w:bCs/>
              </w:rPr>
            </w:pPr>
            <w:r w:rsidRPr="004D5B9B">
              <w:rPr>
                <w:rFonts w:ascii="Cambria" w:hAnsi="Cambria"/>
                <w:b/>
                <w:bCs/>
              </w:rPr>
              <w:t xml:space="preserve">Personal Time Awarded </w:t>
            </w:r>
          </w:p>
        </w:tc>
      </w:tr>
      <w:tr w:rsidR="004D5B9B" w:rsidRPr="004D5B9B" w14:paraId="6ABE3D69" w14:textId="77777777" w:rsidTr="004D5B9B">
        <w:trPr>
          <w:trHeight w:val="147"/>
          <w:jc w:val="center"/>
        </w:trPr>
        <w:tc>
          <w:tcPr>
            <w:tcW w:w="13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45786D" w14:textId="77777777" w:rsidR="004D5B9B" w:rsidRPr="004D5B9B" w:rsidRDefault="004D5B9B" w:rsidP="004D5B9B">
            <w:pPr>
              <w:spacing w:line="240" w:lineRule="auto"/>
              <w:contextualSpacing/>
              <w:rPr>
                <w:rFonts w:ascii="Cambria" w:hAnsi="Cambria"/>
              </w:rPr>
            </w:pPr>
            <w:r w:rsidRPr="004D5B9B">
              <w:rPr>
                <w:rFonts w:ascii="Cambria" w:hAnsi="Cambria"/>
              </w:rPr>
              <w:t xml:space="preserve">Jan. - Mar. </w:t>
            </w:r>
          </w:p>
        </w:tc>
        <w:tc>
          <w:tcPr>
            <w:tcW w:w="29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29B980" w14:textId="77777777" w:rsidR="004D5B9B" w:rsidRPr="004D5B9B" w:rsidRDefault="004D5B9B" w:rsidP="004D5B9B">
            <w:pPr>
              <w:spacing w:line="240" w:lineRule="auto"/>
              <w:contextualSpacing/>
              <w:rPr>
                <w:rFonts w:ascii="Cambria" w:hAnsi="Cambria"/>
              </w:rPr>
            </w:pPr>
            <w:r w:rsidRPr="004D5B9B">
              <w:rPr>
                <w:rFonts w:ascii="Cambria" w:hAnsi="Cambria"/>
              </w:rPr>
              <w:t xml:space="preserve">5 Days </w:t>
            </w:r>
          </w:p>
        </w:tc>
      </w:tr>
      <w:tr w:rsidR="004D5B9B" w:rsidRPr="004D5B9B" w14:paraId="31D1B681" w14:textId="77777777" w:rsidTr="004D5B9B">
        <w:trPr>
          <w:trHeight w:val="147"/>
          <w:jc w:val="center"/>
        </w:trPr>
        <w:tc>
          <w:tcPr>
            <w:tcW w:w="13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46E426" w14:textId="77777777" w:rsidR="004D5B9B" w:rsidRPr="004D5B9B" w:rsidRDefault="004D5B9B" w:rsidP="004D5B9B">
            <w:pPr>
              <w:spacing w:line="240" w:lineRule="auto"/>
              <w:contextualSpacing/>
              <w:rPr>
                <w:rFonts w:ascii="Cambria" w:hAnsi="Cambria"/>
              </w:rPr>
            </w:pPr>
            <w:r w:rsidRPr="004D5B9B">
              <w:rPr>
                <w:rFonts w:ascii="Cambria" w:hAnsi="Cambria"/>
              </w:rPr>
              <w:t xml:space="preserve">Apr. - June </w:t>
            </w:r>
          </w:p>
        </w:tc>
        <w:tc>
          <w:tcPr>
            <w:tcW w:w="29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AB5B12" w14:textId="77777777" w:rsidR="004D5B9B" w:rsidRPr="004D5B9B" w:rsidRDefault="004D5B9B" w:rsidP="004D5B9B">
            <w:pPr>
              <w:spacing w:line="240" w:lineRule="auto"/>
              <w:contextualSpacing/>
              <w:rPr>
                <w:rFonts w:ascii="Cambria" w:hAnsi="Cambria"/>
              </w:rPr>
            </w:pPr>
            <w:r w:rsidRPr="004D5B9B">
              <w:rPr>
                <w:rFonts w:ascii="Cambria" w:hAnsi="Cambria"/>
              </w:rPr>
              <w:t xml:space="preserve">3 Days </w:t>
            </w:r>
          </w:p>
        </w:tc>
      </w:tr>
      <w:tr w:rsidR="004D5B9B" w:rsidRPr="004D5B9B" w14:paraId="45CBDFC9" w14:textId="77777777" w:rsidTr="004D5B9B">
        <w:trPr>
          <w:trHeight w:val="147"/>
          <w:jc w:val="center"/>
        </w:trPr>
        <w:tc>
          <w:tcPr>
            <w:tcW w:w="13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533B2B" w14:textId="77777777" w:rsidR="004D5B9B" w:rsidRPr="004D5B9B" w:rsidRDefault="004D5B9B" w:rsidP="004D5B9B">
            <w:pPr>
              <w:spacing w:line="240" w:lineRule="auto"/>
              <w:contextualSpacing/>
              <w:rPr>
                <w:rFonts w:ascii="Cambria" w:hAnsi="Cambria"/>
              </w:rPr>
            </w:pPr>
            <w:r w:rsidRPr="004D5B9B">
              <w:rPr>
                <w:rFonts w:ascii="Cambria" w:hAnsi="Cambria"/>
              </w:rPr>
              <w:t xml:space="preserve">Jul. - Sept. </w:t>
            </w:r>
          </w:p>
        </w:tc>
        <w:tc>
          <w:tcPr>
            <w:tcW w:w="29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11C552" w14:textId="77777777" w:rsidR="004D5B9B" w:rsidRPr="004D5B9B" w:rsidRDefault="004D5B9B" w:rsidP="004D5B9B">
            <w:pPr>
              <w:spacing w:line="240" w:lineRule="auto"/>
              <w:contextualSpacing/>
              <w:rPr>
                <w:rFonts w:ascii="Cambria" w:hAnsi="Cambria"/>
              </w:rPr>
            </w:pPr>
            <w:r w:rsidRPr="004D5B9B">
              <w:rPr>
                <w:rFonts w:ascii="Cambria" w:hAnsi="Cambria"/>
              </w:rPr>
              <w:t xml:space="preserve">1 Day </w:t>
            </w:r>
          </w:p>
        </w:tc>
      </w:tr>
      <w:tr w:rsidR="004D5B9B" w:rsidRPr="004D5B9B" w14:paraId="1EF3696E" w14:textId="77777777" w:rsidTr="004D5B9B">
        <w:trPr>
          <w:trHeight w:val="147"/>
          <w:jc w:val="center"/>
        </w:trPr>
        <w:tc>
          <w:tcPr>
            <w:tcW w:w="13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550BBE" w14:textId="77777777" w:rsidR="004D5B9B" w:rsidRPr="004D5B9B" w:rsidRDefault="004D5B9B" w:rsidP="004D5B9B">
            <w:pPr>
              <w:spacing w:line="240" w:lineRule="auto"/>
              <w:contextualSpacing/>
              <w:rPr>
                <w:rFonts w:ascii="Cambria" w:hAnsi="Cambria"/>
              </w:rPr>
            </w:pPr>
            <w:r w:rsidRPr="004D5B9B">
              <w:rPr>
                <w:rFonts w:ascii="Cambria" w:hAnsi="Cambria"/>
              </w:rPr>
              <w:t xml:space="preserve">Oct. - Dec. </w:t>
            </w:r>
          </w:p>
        </w:tc>
        <w:tc>
          <w:tcPr>
            <w:tcW w:w="29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B05D2E" w14:textId="77777777" w:rsidR="004D5B9B" w:rsidRPr="004D5B9B" w:rsidRDefault="004D5B9B" w:rsidP="004D5B9B">
            <w:pPr>
              <w:spacing w:line="240" w:lineRule="auto"/>
              <w:contextualSpacing/>
              <w:rPr>
                <w:rFonts w:ascii="Cambria" w:hAnsi="Cambria"/>
              </w:rPr>
            </w:pPr>
            <w:r w:rsidRPr="004D5B9B">
              <w:rPr>
                <w:rFonts w:ascii="Cambria" w:hAnsi="Cambria"/>
              </w:rPr>
              <w:t xml:space="preserve">0 Days </w:t>
            </w:r>
          </w:p>
        </w:tc>
      </w:tr>
    </w:tbl>
    <w:p w14:paraId="7B2071E1" w14:textId="77777777" w:rsidR="001444C7" w:rsidRDefault="001444C7" w:rsidP="001444C7">
      <w:pPr>
        <w:spacing w:line="240" w:lineRule="auto"/>
        <w:contextualSpacing/>
        <w:rPr>
          <w:rFonts w:ascii="Cambria" w:hAnsi="Cambria"/>
          <w:b/>
          <w:bCs/>
        </w:rPr>
      </w:pPr>
    </w:p>
    <w:p w14:paraId="26BDCB89" w14:textId="77777777" w:rsidR="001444C7" w:rsidRPr="001444C7" w:rsidRDefault="001444C7" w:rsidP="001444C7">
      <w:pPr>
        <w:spacing w:line="240" w:lineRule="auto"/>
        <w:contextualSpacing/>
        <w:rPr>
          <w:rFonts w:ascii="Cambria" w:hAnsi="Cambria"/>
          <w:b/>
          <w:bCs/>
        </w:rPr>
      </w:pPr>
      <w:r w:rsidRPr="001444C7">
        <w:rPr>
          <w:rFonts w:ascii="Cambria" w:hAnsi="Cambria"/>
          <w:b/>
          <w:bCs/>
        </w:rPr>
        <w:t>Parking – Addendum to MOU 7</w:t>
      </w:r>
    </w:p>
    <w:p w14:paraId="5A3617EA" w14:textId="77777777" w:rsidR="00C70BFB" w:rsidRDefault="00A65569" w:rsidP="00265199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The parking rates currently agreed to in MOU 7 shall remain effective </w:t>
      </w:r>
      <w:proofErr w:type="gramStart"/>
      <w:r w:rsidRPr="0B95B156">
        <w:rPr>
          <w:rFonts w:ascii="Cambria" w:hAnsi="Cambria"/>
        </w:rPr>
        <w:t>through</w:t>
      </w:r>
      <w:proofErr w:type="gramEnd"/>
      <w:r w:rsidRPr="0B95B156">
        <w:rPr>
          <w:rFonts w:ascii="Cambria" w:hAnsi="Cambria"/>
        </w:rPr>
        <w:t xml:space="preserve"> June 30, </w:t>
      </w:r>
      <w:r w:rsidR="00E2552F" w:rsidRPr="0B95B156">
        <w:rPr>
          <w:rFonts w:ascii="Cambria" w:hAnsi="Cambria"/>
        </w:rPr>
        <w:t>2026,</w:t>
      </w:r>
      <w:r w:rsidR="00646DCD" w:rsidRPr="0B95B156">
        <w:rPr>
          <w:rFonts w:ascii="Cambria" w:hAnsi="Cambria"/>
        </w:rPr>
        <w:t xml:space="preserve"> or until such time that an agreement is reached through coalition ba</w:t>
      </w:r>
      <w:r w:rsidR="00C70BFB" w:rsidRPr="0B95B156">
        <w:rPr>
          <w:rFonts w:ascii="Cambria" w:hAnsi="Cambria"/>
        </w:rPr>
        <w:t xml:space="preserve">rgaining. The parties agreed to a Parking Rate Adjustment Cap to take effect July 1, 2026. </w:t>
      </w:r>
      <w:r w:rsidR="37907EDB" w:rsidRPr="0B95B156">
        <w:rPr>
          <w:rFonts w:ascii="Cambria" w:hAnsi="Cambria"/>
        </w:rPr>
        <w:t>C</w:t>
      </w:r>
      <w:r w:rsidR="00AD11D6" w:rsidRPr="0B95B156">
        <w:rPr>
          <w:rFonts w:ascii="Cambria" w:hAnsi="Cambria"/>
        </w:rPr>
        <w:t>ap</w:t>
      </w:r>
      <w:r w:rsidR="00C70BFB" w:rsidRPr="0B95B156">
        <w:rPr>
          <w:rFonts w:ascii="Cambria" w:hAnsi="Cambria"/>
        </w:rPr>
        <w:t xml:space="preserve"> </w:t>
      </w:r>
      <w:r w:rsidR="01C6B443" w:rsidRPr="0B95B156">
        <w:rPr>
          <w:rFonts w:ascii="Cambria" w:hAnsi="Cambria"/>
        </w:rPr>
        <w:t>limits</w:t>
      </w:r>
      <w:r w:rsidR="00C70BFB" w:rsidRPr="0B95B156">
        <w:rPr>
          <w:rFonts w:ascii="Cambria" w:hAnsi="Cambria"/>
        </w:rPr>
        <w:t xml:space="preserve"> </w:t>
      </w:r>
      <w:r w:rsidR="00E2552F" w:rsidRPr="0B95B156">
        <w:rPr>
          <w:rFonts w:ascii="Cambria" w:hAnsi="Cambria"/>
        </w:rPr>
        <w:t>increase to</w:t>
      </w:r>
      <w:r w:rsidR="4AD7E8BC" w:rsidRPr="0B95B156">
        <w:rPr>
          <w:rFonts w:ascii="Cambria" w:hAnsi="Cambria"/>
        </w:rPr>
        <w:t xml:space="preserve"> formula based on COLA and overall salary changes for </w:t>
      </w:r>
      <w:r w:rsidR="00E2552F" w:rsidRPr="0B95B156">
        <w:rPr>
          <w:rFonts w:ascii="Cambria" w:hAnsi="Cambria"/>
        </w:rPr>
        <w:t>the previous</w:t>
      </w:r>
      <w:r w:rsidR="4AD7E8BC" w:rsidRPr="0B95B156">
        <w:rPr>
          <w:rFonts w:ascii="Cambria" w:hAnsi="Cambria"/>
        </w:rPr>
        <w:t xml:space="preserve"> year.</w:t>
      </w:r>
    </w:p>
    <w:p w14:paraId="68406158" w14:textId="77777777" w:rsidR="005F0F6F" w:rsidRDefault="005F0F6F" w:rsidP="00265199">
      <w:pPr>
        <w:spacing w:line="240" w:lineRule="auto"/>
        <w:contextualSpacing/>
        <w:rPr>
          <w:rFonts w:ascii="Cambria" w:hAnsi="Cambria"/>
        </w:rPr>
      </w:pPr>
    </w:p>
    <w:p w14:paraId="08E3580C" w14:textId="77777777" w:rsidR="001444C7" w:rsidRDefault="005F0F6F" w:rsidP="00265199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In the event the Bayside lot closes, Lot D will be designated as a lower-priced lot for those who purchase a prepaid parking pass. </w:t>
      </w:r>
      <w:r w:rsidR="00EF302D">
        <w:rPr>
          <w:rFonts w:ascii="Cambria" w:hAnsi="Cambria"/>
        </w:rPr>
        <w:t>Additionally, an MBTA subsidy of 20% will be provided to those who purchase MBTA passes, up to $72.00</w:t>
      </w:r>
      <w:r w:rsidR="00976EB3">
        <w:rPr>
          <w:rFonts w:ascii="Cambria" w:hAnsi="Cambria"/>
        </w:rPr>
        <w:t>.</w:t>
      </w:r>
    </w:p>
    <w:p w14:paraId="14B56721" w14:textId="77777777" w:rsidR="00151943" w:rsidRDefault="00151943" w:rsidP="00265199">
      <w:pPr>
        <w:spacing w:line="240" w:lineRule="auto"/>
        <w:contextualSpacing/>
        <w:rPr>
          <w:rFonts w:ascii="Cambria" w:hAnsi="Cambria"/>
        </w:rPr>
      </w:pPr>
    </w:p>
    <w:p w14:paraId="0E421B42" w14:textId="77777777" w:rsidR="00151943" w:rsidRDefault="00151943" w:rsidP="00265199">
      <w:pPr>
        <w:spacing w:line="240" w:lineRule="auto"/>
        <w:contextualSpacing/>
        <w:rPr>
          <w:rFonts w:ascii="Cambria" w:hAnsi="Cambria"/>
        </w:rPr>
      </w:pPr>
    </w:p>
    <w:p w14:paraId="191C6448" w14:textId="77777777" w:rsidR="00AD11D6" w:rsidRPr="00976EB3" w:rsidRDefault="00AD11D6" w:rsidP="00265199">
      <w:pPr>
        <w:spacing w:line="240" w:lineRule="auto"/>
        <w:contextualSpacing/>
        <w:rPr>
          <w:rFonts w:ascii="Cambria" w:hAnsi="Cambria"/>
        </w:rPr>
      </w:pPr>
    </w:p>
    <w:p w14:paraId="713FE58F" w14:textId="77777777" w:rsidR="00265199" w:rsidRDefault="00265199" w:rsidP="00265199">
      <w:pPr>
        <w:spacing w:line="240" w:lineRule="auto"/>
        <w:contextualSpacing/>
        <w:rPr>
          <w:rFonts w:ascii="Cambria" w:hAnsi="Cambria"/>
          <w:b/>
          <w:bCs/>
          <w:color w:val="005A8B"/>
          <w:sz w:val="28"/>
          <w:szCs w:val="28"/>
        </w:rPr>
      </w:pPr>
      <w:r w:rsidRPr="001C0608">
        <w:rPr>
          <w:rFonts w:ascii="Cambria" w:hAnsi="Cambria"/>
          <w:b/>
          <w:bCs/>
          <w:color w:val="005A8B"/>
          <w:sz w:val="28"/>
          <w:szCs w:val="28"/>
        </w:rPr>
        <w:t xml:space="preserve">Non-Economic Provisions </w:t>
      </w:r>
    </w:p>
    <w:p w14:paraId="3B56A320" w14:textId="77777777" w:rsidR="00B23C67" w:rsidRDefault="00B23C67" w:rsidP="00B23C67">
      <w:pPr>
        <w:spacing w:line="240" w:lineRule="auto"/>
        <w:contextualSpacing/>
      </w:pPr>
    </w:p>
    <w:p w14:paraId="05BCC5FD" w14:textId="77777777" w:rsidR="00B23C67" w:rsidRPr="001C0608" w:rsidRDefault="00B23C67" w:rsidP="00B23C67">
      <w:pPr>
        <w:spacing w:line="240" w:lineRule="auto"/>
        <w:contextualSpacing/>
        <w:rPr>
          <w:rFonts w:ascii="Cambria" w:hAnsi="Cambria"/>
          <w:b/>
          <w:bCs/>
        </w:rPr>
      </w:pPr>
      <w:r w:rsidRPr="001C0608">
        <w:rPr>
          <w:rFonts w:ascii="Cambria" w:hAnsi="Cambria"/>
          <w:b/>
          <w:bCs/>
        </w:rPr>
        <w:t xml:space="preserve">Affirmative Action </w:t>
      </w:r>
    </w:p>
    <w:p w14:paraId="360439B3" w14:textId="77777777" w:rsidR="00B23C67" w:rsidRDefault="00B23C67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Updated the language </w:t>
      </w:r>
      <w:r w:rsidR="775F6ED1" w:rsidRPr="0B95B156">
        <w:rPr>
          <w:rFonts w:ascii="Cambria" w:hAnsi="Cambria"/>
        </w:rPr>
        <w:t xml:space="preserve">to </w:t>
      </w:r>
      <w:r w:rsidR="00E2552F" w:rsidRPr="0B95B156">
        <w:rPr>
          <w:rFonts w:ascii="Cambria" w:hAnsi="Cambria"/>
        </w:rPr>
        <w:t>ensure compliance</w:t>
      </w:r>
      <w:r w:rsidR="775F6ED1" w:rsidRPr="0B95B156">
        <w:rPr>
          <w:rFonts w:ascii="Cambria" w:hAnsi="Cambria"/>
        </w:rPr>
        <w:t xml:space="preserve"> with state/federal laws.</w:t>
      </w:r>
    </w:p>
    <w:p w14:paraId="5B266A1B" w14:textId="77777777" w:rsidR="00B23C67" w:rsidRDefault="00B23C67" w:rsidP="00B23C67">
      <w:pPr>
        <w:spacing w:line="240" w:lineRule="auto"/>
        <w:contextualSpacing/>
        <w:rPr>
          <w:rFonts w:ascii="Cambria" w:hAnsi="Cambria"/>
        </w:rPr>
      </w:pPr>
    </w:p>
    <w:p w14:paraId="6BC18518" w14:textId="77777777" w:rsidR="00B23C67" w:rsidRPr="00B23C67" w:rsidRDefault="00B23C67" w:rsidP="00B23C67">
      <w:pPr>
        <w:spacing w:line="240" w:lineRule="auto"/>
        <w:contextualSpacing/>
        <w:rPr>
          <w:rFonts w:ascii="Cambria" w:hAnsi="Cambria"/>
          <w:b/>
          <w:bCs/>
        </w:rPr>
      </w:pPr>
      <w:r w:rsidRPr="00B23C67">
        <w:rPr>
          <w:rFonts w:ascii="Cambria" w:hAnsi="Cambria"/>
          <w:b/>
          <w:bCs/>
        </w:rPr>
        <w:t xml:space="preserve">Academic Freedom </w:t>
      </w:r>
    </w:p>
    <w:p w14:paraId="7A1BCA26" w14:textId="77777777" w:rsidR="00B23C67" w:rsidRDefault="73183135">
      <w:pPr>
        <w:rPr>
          <w:rFonts w:ascii="Cambria" w:hAnsi="Cambria"/>
        </w:rPr>
      </w:pPr>
      <w:r w:rsidRPr="0B95B156">
        <w:rPr>
          <w:rFonts w:ascii="Cambria" w:hAnsi="Cambria"/>
        </w:rPr>
        <w:t>Include ‘inside the classroom’ as related to syllabus</w:t>
      </w:r>
      <w:r w:rsidR="00B23C67" w:rsidRPr="0B95B156">
        <w:rPr>
          <w:rFonts w:ascii="Cambria" w:hAnsi="Cambria"/>
        </w:rPr>
        <w:t xml:space="preserve"> </w:t>
      </w:r>
    </w:p>
    <w:p w14:paraId="17270B51" w14:textId="77777777" w:rsidR="00B23C67" w:rsidRDefault="00B23C67" w:rsidP="00B23C67">
      <w:pPr>
        <w:spacing w:line="240" w:lineRule="auto"/>
        <w:contextualSpacing/>
        <w:rPr>
          <w:rFonts w:ascii="Cambria" w:hAnsi="Cambria"/>
          <w:b/>
          <w:bCs/>
        </w:rPr>
      </w:pPr>
      <w:r w:rsidRPr="00B23C67">
        <w:rPr>
          <w:rFonts w:ascii="Cambria" w:hAnsi="Cambria"/>
          <w:b/>
          <w:bCs/>
        </w:rPr>
        <w:lastRenderedPageBreak/>
        <w:t xml:space="preserve">Faculty Workload </w:t>
      </w:r>
    </w:p>
    <w:p w14:paraId="4FE9F179" w14:textId="77777777" w:rsidR="00B23C67" w:rsidRDefault="00B23C67" w:rsidP="00A837E5">
      <w:pPr>
        <w:spacing w:line="240" w:lineRule="auto"/>
        <w:rPr>
          <w:rFonts w:ascii="Cambria" w:hAnsi="Cambria"/>
        </w:rPr>
      </w:pPr>
      <w:r w:rsidRPr="0B95B156">
        <w:rPr>
          <w:rFonts w:ascii="Cambria" w:hAnsi="Cambria"/>
        </w:rPr>
        <w:t xml:space="preserve">Service during the </w:t>
      </w:r>
      <w:r w:rsidR="00E2552F" w:rsidRPr="0B95B156">
        <w:rPr>
          <w:rFonts w:ascii="Cambria" w:hAnsi="Cambria"/>
        </w:rPr>
        <w:t>Research-Intensive</w:t>
      </w:r>
      <w:r w:rsidRPr="0B95B156">
        <w:rPr>
          <w:rFonts w:ascii="Cambria" w:hAnsi="Cambria"/>
        </w:rPr>
        <w:t xml:space="preserve"> Semester will be in a </w:t>
      </w:r>
      <w:proofErr w:type="gramStart"/>
      <w:r w:rsidRPr="0B95B156">
        <w:rPr>
          <w:rFonts w:ascii="Cambria" w:hAnsi="Cambria"/>
        </w:rPr>
        <w:t>modality</w:t>
      </w:r>
      <w:proofErr w:type="gramEnd"/>
      <w:r w:rsidRPr="0B95B156">
        <w:rPr>
          <w:rFonts w:ascii="Cambria" w:hAnsi="Cambria"/>
        </w:rPr>
        <w:t xml:space="preserve"> mutually agreed upon by the </w:t>
      </w:r>
      <w:r w:rsidR="3109C457" w:rsidRPr="0B95B156">
        <w:rPr>
          <w:rFonts w:ascii="Cambria" w:hAnsi="Cambria"/>
        </w:rPr>
        <w:t xml:space="preserve">faculty </w:t>
      </w:r>
      <w:proofErr w:type="gramStart"/>
      <w:r w:rsidR="3109C457" w:rsidRPr="0B95B156">
        <w:rPr>
          <w:rFonts w:ascii="Cambria" w:hAnsi="Cambria"/>
        </w:rPr>
        <w:t>member</w:t>
      </w:r>
      <w:proofErr w:type="gramEnd"/>
      <w:r w:rsidRPr="0B95B156">
        <w:rPr>
          <w:rFonts w:ascii="Cambria" w:hAnsi="Cambria"/>
        </w:rPr>
        <w:t xml:space="preserve"> and the department chair. </w:t>
      </w:r>
      <w:r w:rsidR="00B83F6B" w:rsidRPr="0B95B156">
        <w:rPr>
          <w:rFonts w:ascii="Cambria" w:hAnsi="Cambria"/>
        </w:rPr>
        <w:t xml:space="preserve">The </w:t>
      </w:r>
      <w:r w:rsidR="3FED2274" w:rsidRPr="0B95B156">
        <w:rPr>
          <w:rFonts w:ascii="Cambria" w:hAnsi="Cambria"/>
        </w:rPr>
        <w:t>faculty</w:t>
      </w:r>
      <w:r w:rsidR="00B83F6B" w:rsidRPr="0B95B156">
        <w:rPr>
          <w:rFonts w:ascii="Cambria" w:hAnsi="Cambria"/>
        </w:rPr>
        <w:t xml:space="preserve"> member may also request to have service waved</w:t>
      </w:r>
      <w:r w:rsidR="00D24430" w:rsidRPr="0B95B156">
        <w:rPr>
          <w:rFonts w:ascii="Cambria" w:hAnsi="Cambria"/>
        </w:rPr>
        <w:t xml:space="preserve">, which the department chair will review on a case-by-case basis </w:t>
      </w:r>
      <w:r w:rsidR="4277FBCB" w:rsidRPr="0B95B156">
        <w:rPr>
          <w:rFonts w:ascii="Cambria" w:hAnsi="Cambria"/>
        </w:rPr>
        <w:t>approved by</w:t>
      </w:r>
      <w:r w:rsidR="00D24430" w:rsidRPr="0B95B156">
        <w:rPr>
          <w:rFonts w:ascii="Cambria" w:hAnsi="Cambria"/>
        </w:rPr>
        <w:t xml:space="preserve"> the Dean. </w:t>
      </w:r>
    </w:p>
    <w:p w14:paraId="5CE1A0FF" w14:textId="77777777" w:rsidR="00067E01" w:rsidRDefault="00067E01" w:rsidP="00B23C67">
      <w:pPr>
        <w:spacing w:line="240" w:lineRule="auto"/>
        <w:contextualSpacing/>
        <w:rPr>
          <w:rFonts w:ascii="Cambria" w:hAnsi="Cambria"/>
        </w:rPr>
      </w:pPr>
    </w:p>
    <w:p w14:paraId="56EA4202" w14:textId="77777777" w:rsidR="00D24430" w:rsidRPr="00D24430" w:rsidRDefault="00D24430" w:rsidP="00B23C67">
      <w:pPr>
        <w:spacing w:line="240" w:lineRule="auto"/>
        <w:contextualSpacing/>
        <w:rPr>
          <w:rFonts w:ascii="Cambria" w:hAnsi="Cambria"/>
          <w:b/>
          <w:bCs/>
        </w:rPr>
      </w:pPr>
      <w:r w:rsidRPr="00D24430">
        <w:rPr>
          <w:rFonts w:ascii="Cambria" w:hAnsi="Cambria"/>
          <w:b/>
          <w:bCs/>
        </w:rPr>
        <w:t xml:space="preserve">Expedited Release for Job Abandonment </w:t>
      </w:r>
    </w:p>
    <w:p w14:paraId="73F32BBA" w14:textId="77777777" w:rsidR="00D24430" w:rsidRDefault="2C707DB3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Eliminates peer review for job abandonment </w:t>
      </w:r>
    </w:p>
    <w:p w14:paraId="52E17914" w14:textId="77777777" w:rsidR="00D24430" w:rsidRDefault="00D24430" w:rsidP="00B23C67">
      <w:pPr>
        <w:spacing w:line="240" w:lineRule="auto"/>
        <w:contextualSpacing/>
        <w:rPr>
          <w:rFonts w:ascii="Cambria" w:hAnsi="Cambria"/>
        </w:rPr>
      </w:pPr>
    </w:p>
    <w:p w14:paraId="2EEECD82" w14:textId="77777777" w:rsidR="00D24430" w:rsidRDefault="00D24430" w:rsidP="00B23C67">
      <w:pPr>
        <w:spacing w:line="240" w:lineRule="auto"/>
        <w:contextualSpacing/>
        <w:rPr>
          <w:rFonts w:ascii="Cambria" w:hAnsi="Cambria"/>
          <w:b/>
          <w:bCs/>
        </w:rPr>
      </w:pPr>
      <w:r w:rsidRPr="00D24430">
        <w:rPr>
          <w:rFonts w:ascii="Cambria" w:hAnsi="Cambria"/>
          <w:b/>
          <w:bCs/>
        </w:rPr>
        <w:t>Working Conditions</w:t>
      </w:r>
    </w:p>
    <w:p w14:paraId="1A4EB485" w14:textId="77777777" w:rsidR="00D24430" w:rsidRDefault="00D24430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All tenure-track, non-tenure track unit members on continuing appointments, and </w:t>
      </w:r>
      <w:r w:rsidR="00E2552F" w:rsidRPr="0B95B156">
        <w:rPr>
          <w:rFonts w:ascii="Cambria" w:hAnsi="Cambria"/>
        </w:rPr>
        <w:t>librarians provided</w:t>
      </w:r>
      <w:r w:rsidRPr="0B95B156">
        <w:rPr>
          <w:rFonts w:ascii="Cambria" w:hAnsi="Cambria"/>
        </w:rPr>
        <w:t xml:space="preserve"> with computers and access to adequate office space. </w:t>
      </w:r>
    </w:p>
    <w:p w14:paraId="586FFFF2" w14:textId="77777777" w:rsidR="00D24430" w:rsidRDefault="00D24430" w:rsidP="00B23C67">
      <w:pPr>
        <w:spacing w:line="240" w:lineRule="auto"/>
        <w:contextualSpacing/>
        <w:rPr>
          <w:rFonts w:ascii="Cambria" w:hAnsi="Cambria"/>
        </w:rPr>
      </w:pPr>
    </w:p>
    <w:p w14:paraId="5BBAD881" w14:textId="77777777" w:rsidR="00D24430" w:rsidRPr="00D24430" w:rsidRDefault="00D24430" w:rsidP="00B23C67">
      <w:pPr>
        <w:spacing w:line="240" w:lineRule="auto"/>
        <w:contextualSpacing/>
        <w:rPr>
          <w:rFonts w:ascii="Cambria" w:hAnsi="Cambria"/>
          <w:b/>
          <w:bCs/>
        </w:rPr>
      </w:pPr>
      <w:r w:rsidRPr="00D24430">
        <w:rPr>
          <w:rFonts w:ascii="Cambria" w:hAnsi="Cambria"/>
          <w:b/>
          <w:bCs/>
        </w:rPr>
        <w:t>Librarians</w:t>
      </w:r>
    </w:p>
    <w:p w14:paraId="2A10B4CA" w14:textId="77777777" w:rsidR="00D24430" w:rsidRDefault="00D24430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Any approved paid leaves taken by a librarian will be counted towards the librarian university service date and years of service. </w:t>
      </w:r>
    </w:p>
    <w:p w14:paraId="5DF480BF" w14:textId="77777777" w:rsidR="00D24430" w:rsidRDefault="00D24430" w:rsidP="00B23C67">
      <w:pPr>
        <w:spacing w:line="240" w:lineRule="auto"/>
        <w:contextualSpacing/>
        <w:rPr>
          <w:rFonts w:ascii="Cambria" w:hAnsi="Cambria"/>
        </w:rPr>
      </w:pPr>
    </w:p>
    <w:p w14:paraId="07FC17A6" w14:textId="77777777" w:rsidR="00D24430" w:rsidRDefault="00D24430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 </w:t>
      </w:r>
      <w:r w:rsidR="79733C8F" w:rsidRPr="0B95B156">
        <w:rPr>
          <w:rFonts w:ascii="Cambria" w:hAnsi="Cambria"/>
        </w:rPr>
        <w:t>L</w:t>
      </w:r>
      <w:r w:rsidRPr="0B95B156">
        <w:rPr>
          <w:rFonts w:ascii="Cambria" w:hAnsi="Cambria"/>
        </w:rPr>
        <w:t>ibrarian</w:t>
      </w:r>
      <w:r w:rsidR="18C6FEFD" w:rsidRPr="0B95B156">
        <w:rPr>
          <w:rFonts w:ascii="Cambria" w:hAnsi="Cambria"/>
        </w:rPr>
        <w:t>s</w:t>
      </w:r>
      <w:r w:rsidRPr="0B95B156">
        <w:rPr>
          <w:rFonts w:ascii="Cambria" w:hAnsi="Cambria"/>
        </w:rPr>
        <w:t xml:space="preserve"> may appl</w:t>
      </w:r>
      <w:r w:rsidR="3E6E8A8C" w:rsidRPr="0B95B156">
        <w:rPr>
          <w:rFonts w:ascii="Cambria" w:hAnsi="Cambria"/>
        </w:rPr>
        <w:t>y</w:t>
      </w:r>
      <w:r w:rsidRPr="0B95B156">
        <w:rPr>
          <w:rFonts w:ascii="Cambria" w:hAnsi="Cambria"/>
        </w:rPr>
        <w:t xml:space="preserve"> for promotion during the academic year that directly </w:t>
      </w:r>
      <w:r w:rsidR="00E2552F" w:rsidRPr="0B95B156">
        <w:rPr>
          <w:rFonts w:ascii="Cambria" w:hAnsi="Cambria"/>
        </w:rPr>
        <w:t>proceeds the</w:t>
      </w:r>
      <w:r w:rsidRPr="0B95B156">
        <w:rPr>
          <w:rFonts w:ascii="Cambria" w:hAnsi="Cambria"/>
        </w:rPr>
        <w:t xml:space="preserve"> required minimum years in service rank. </w:t>
      </w:r>
      <w:r w:rsidR="007E1FC9" w:rsidRPr="0B95B156">
        <w:rPr>
          <w:rFonts w:ascii="Cambria" w:hAnsi="Cambria"/>
        </w:rPr>
        <w:t xml:space="preserve"> </w:t>
      </w:r>
      <w:r w:rsidR="5E7E4544" w:rsidRPr="0B95B156">
        <w:rPr>
          <w:rFonts w:ascii="Cambria" w:hAnsi="Cambria"/>
        </w:rPr>
        <w:t>Librarian</w:t>
      </w:r>
      <w:r w:rsidR="007E1FC9" w:rsidRPr="0B95B156">
        <w:rPr>
          <w:rFonts w:ascii="Cambria" w:hAnsi="Cambria"/>
        </w:rPr>
        <w:t xml:space="preserve"> 1 </w:t>
      </w:r>
      <w:r w:rsidR="253A67FC" w:rsidRPr="0B95B156">
        <w:rPr>
          <w:rFonts w:ascii="Cambria" w:hAnsi="Cambria"/>
        </w:rPr>
        <w:t xml:space="preserve">to </w:t>
      </w:r>
      <w:r w:rsidR="00E2552F" w:rsidRPr="0B95B156">
        <w:rPr>
          <w:rFonts w:ascii="Cambria" w:hAnsi="Cambria"/>
        </w:rPr>
        <w:t>Librarian</w:t>
      </w:r>
      <w:r w:rsidR="253A67FC" w:rsidRPr="0B95B156">
        <w:rPr>
          <w:rFonts w:ascii="Cambria" w:hAnsi="Cambria"/>
        </w:rPr>
        <w:t xml:space="preserve"> 2 requires 3 years of service.</w:t>
      </w:r>
    </w:p>
    <w:p w14:paraId="6D24033C" w14:textId="77777777" w:rsidR="007E1FC9" w:rsidRDefault="007E1FC9" w:rsidP="00B23C67">
      <w:pPr>
        <w:spacing w:line="240" w:lineRule="auto"/>
        <w:contextualSpacing/>
        <w:rPr>
          <w:rFonts w:ascii="Cambria" w:hAnsi="Cambria"/>
        </w:rPr>
      </w:pPr>
    </w:p>
    <w:p w14:paraId="199CFD06" w14:textId="77777777" w:rsidR="007E1FC9" w:rsidRDefault="007E1FC9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In exceptional circumstances (non-weather related) the University may remain open but temporarily switch to remote operations. </w:t>
      </w:r>
      <w:r w:rsidR="5D838DA1" w:rsidRPr="0B95B156">
        <w:rPr>
          <w:rFonts w:ascii="Cambria" w:hAnsi="Cambria"/>
        </w:rPr>
        <w:t xml:space="preserve">When feasible University to provide one </w:t>
      </w:r>
      <w:r w:rsidR="00E2552F" w:rsidRPr="0B95B156">
        <w:rPr>
          <w:rFonts w:ascii="Cambria" w:hAnsi="Cambria"/>
        </w:rPr>
        <w:t>week’s</w:t>
      </w:r>
      <w:r w:rsidR="5D838DA1" w:rsidRPr="0B95B156">
        <w:rPr>
          <w:rFonts w:ascii="Cambria" w:hAnsi="Cambria"/>
        </w:rPr>
        <w:t xml:space="preserve"> </w:t>
      </w:r>
      <w:r w:rsidR="00E2552F" w:rsidRPr="0B95B156">
        <w:rPr>
          <w:rFonts w:ascii="Cambria" w:hAnsi="Cambria"/>
        </w:rPr>
        <w:t xml:space="preserve">notice. </w:t>
      </w:r>
      <w:r w:rsidR="002F7040" w:rsidRPr="0B95B156">
        <w:rPr>
          <w:rFonts w:ascii="Cambria" w:hAnsi="Cambria"/>
        </w:rPr>
        <w:t xml:space="preserve">In the event an employee is unable to work remotely, they will receive their regular rate of pay for their scheduled shift. </w:t>
      </w:r>
    </w:p>
    <w:p w14:paraId="36A39C22" w14:textId="77777777" w:rsidR="002F7040" w:rsidRDefault="002F7040" w:rsidP="00B23C67">
      <w:pPr>
        <w:spacing w:line="240" w:lineRule="auto"/>
        <w:contextualSpacing/>
        <w:rPr>
          <w:rFonts w:ascii="Cambria" w:hAnsi="Cambria"/>
        </w:rPr>
      </w:pPr>
    </w:p>
    <w:p w14:paraId="3DA98CBC" w14:textId="77777777" w:rsidR="002F7040" w:rsidRDefault="002F7040" w:rsidP="00B23C67">
      <w:pPr>
        <w:spacing w:line="240" w:lineRule="auto"/>
        <w:contextualSpacing/>
        <w:rPr>
          <w:rFonts w:ascii="Cambria" w:hAnsi="Cambria"/>
          <w:b/>
          <w:bCs/>
        </w:rPr>
      </w:pPr>
      <w:r w:rsidRPr="002F7040">
        <w:rPr>
          <w:rFonts w:ascii="Cambria" w:hAnsi="Cambria"/>
          <w:b/>
          <w:bCs/>
        </w:rPr>
        <w:t xml:space="preserve">Non-Tenure Track Faculty </w:t>
      </w:r>
    </w:p>
    <w:p w14:paraId="2C88CD9B" w14:textId="77777777" w:rsidR="002F7040" w:rsidRDefault="002F7040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All references </w:t>
      </w:r>
      <w:proofErr w:type="gramStart"/>
      <w:r w:rsidRPr="0B95B156">
        <w:rPr>
          <w:rFonts w:ascii="Cambria" w:hAnsi="Cambria"/>
        </w:rPr>
        <w:t>to</w:t>
      </w:r>
      <w:proofErr w:type="gramEnd"/>
      <w:r w:rsidRPr="0B95B156">
        <w:rPr>
          <w:rFonts w:ascii="Cambria" w:hAnsi="Cambria"/>
        </w:rPr>
        <w:t xml:space="preserve"> </w:t>
      </w:r>
      <w:r w:rsidR="00E2552F" w:rsidRPr="0B95B156">
        <w:rPr>
          <w:rFonts w:ascii="Cambria" w:hAnsi="Cambria"/>
        </w:rPr>
        <w:t>courses listed</w:t>
      </w:r>
      <w:r w:rsidRPr="0B95B156">
        <w:rPr>
          <w:rFonts w:ascii="Cambria" w:hAnsi="Cambria"/>
        </w:rPr>
        <w:t xml:space="preserve"> as credits to account for some courses being 4 credits</w:t>
      </w:r>
      <w:r w:rsidR="2953BC36" w:rsidRPr="0B95B156">
        <w:rPr>
          <w:rFonts w:ascii="Cambria" w:hAnsi="Cambria"/>
        </w:rPr>
        <w:t>.</w:t>
      </w:r>
    </w:p>
    <w:p w14:paraId="17448DD3" w14:textId="77777777" w:rsidR="00701327" w:rsidRDefault="00701327" w:rsidP="00B23C67">
      <w:pPr>
        <w:spacing w:line="240" w:lineRule="auto"/>
        <w:contextualSpacing/>
        <w:rPr>
          <w:rFonts w:ascii="Cambria" w:hAnsi="Cambria"/>
        </w:rPr>
      </w:pPr>
    </w:p>
    <w:p w14:paraId="3C019B50" w14:textId="77777777" w:rsidR="00701327" w:rsidRDefault="00701327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Enhanced service has been defined as duties that are above and beyond basic service </w:t>
      </w:r>
      <w:r w:rsidR="21577C7E" w:rsidRPr="0B95B156">
        <w:rPr>
          <w:rFonts w:ascii="Cambria" w:hAnsi="Cambria"/>
        </w:rPr>
        <w:t xml:space="preserve">defined as </w:t>
      </w:r>
      <w:r w:rsidRPr="0B95B156">
        <w:rPr>
          <w:rFonts w:ascii="Cambria" w:hAnsi="Cambria"/>
        </w:rPr>
        <w:t>an equivalent time and effort to teaching a 3-credit course. Service will be reviewed during the AFR, and if determined to be inadequate</w:t>
      </w:r>
      <w:r w:rsidR="5ECC6AD8" w:rsidRPr="0B95B156">
        <w:rPr>
          <w:rFonts w:ascii="Cambria" w:hAnsi="Cambria"/>
        </w:rPr>
        <w:t>,</w:t>
      </w:r>
      <w:r w:rsidR="00B03CE5" w:rsidRPr="0B95B156">
        <w:rPr>
          <w:rFonts w:ascii="Cambria" w:hAnsi="Cambria"/>
        </w:rPr>
        <w:t xml:space="preserve"> may be removed from the faculty member</w:t>
      </w:r>
      <w:r w:rsidR="23266F9F" w:rsidRPr="0B95B156">
        <w:rPr>
          <w:rFonts w:ascii="Cambria" w:hAnsi="Cambria"/>
        </w:rPr>
        <w:t>’</w:t>
      </w:r>
      <w:r w:rsidR="00B03CE5" w:rsidRPr="0B95B156">
        <w:rPr>
          <w:rFonts w:ascii="Cambria" w:hAnsi="Cambria"/>
        </w:rPr>
        <w:t>s load and replaced with teaching.</w:t>
      </w:r>
      <w:r w:rsidR="00FE5AD4" w:rsidRPr="0B95B156">
        <w:rPr>
          <w:rFonts w:ascii="Cambria" w:hAnsi="Cambria"/>
        </w:rPr>
        <w:t xml:space="preserve"> It shall be awarded based on availability. </w:t>
      </w:r>
    </w:p>
    <w:p w14:paraId="24B026BA" w14:textId="77777777" w:rsidR="002F7040" w:rsidRDefault="002F7040" w:rsidP="00B23C67">
      <w:pPr>
        <w:spacing w:line="240" w:lineRule="auto"/>
        <w:contextualSpacing/>
        <w:rPr>
          <w:rFonts w:ascii="Cambria" w:hAnsi="Cambria"/>
        </w:rPr>
      </w:pPr>
    </w:p>
    <w:p w14:paraId="14CA7F2C" w14:textId="77777777" w:rsidR="00B03CE5" w:rsidRDefault="00FE5AD4" w:rsidP="00B23C67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Should there be insufficient enhanced service opportunities on campus, the faculty </w:t>
      </w:r>
      <w:r w:rsidR="00E2552F">
        <w:rPr>
          <w:rFonts w:ascii="Cambria" w:hAnsi="Cambria"/>
        </w:rPr>
        <w:t>members</w:t>
      </w:r>
      <w:r>
        <w:rPr>
          <w:rFonts w:ascii="Cambria" w:hAnsi="Cambria"/>
        </w:rPr>
        <w:t xml:space="preserve"> may work with their department chair on alternative arrangements, which will need the approval of the dean. </w:t>
      </w:r>
    </w:p>
    <w:p w14:paraId="377D670B" w14:textId="77777777" w:rsidR="00067E01" w:rsidRDefault="00067E01" w:rsidP="00B23C67">
      <w:pPr>
        <w:spacing w:line="240" w:lineRule="auto"/>
        <w:contextualSpacing/>
        <w:rPr>
          <w:rFonts w:ascii="Cambria" w:hAnsi="Cambria"/>
        </w:rPr>
      </w:pPr>
    </w:p>
    <w:p w14:paraId="60E6E357" w14:textId="77777777" w:rsidR="001F75CB" w:rsidRPr="001F75CB" w:rsidRDefault="001F75CB" w:rsidP="00B23C67">
      <w:pPr>
        <w:spacing w:line="240" w:lineRule="auto"/>
        <w:contextualSpacing/>
        <w:rPr>
          <w:rFonts w:ascii="Cambria" w:hAnsi="Cambria"/>
          <w:b/>
          <w:bCs/>
        </w:rPr>
      </w:pPr>
      <w:r w:rsidRPr="001F75CB">
        <w:rPr>
          <w:rFonts w:ascii="Cambria" w:hAnsi="Cambria"/>
          <w:b/>
          <w:bCs/>
        </w:rPr>
        <w:t>Visa Reimbursement Committee</w:t>
      </w:r>
    </w:p>
    <w:p w14:paraId="14AC7259" w14:textId="77777777" w:rsidR="002F7040" w:rsidRDefault="001F75CB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 </w:t>
      </w:r>
      <w:r w:rsidR="74D72EDC" w:rsidRPr="0B95B156">
        <w:rPr>
          <w:rFonts w:ascii="Cambria" w:hAnsi="Cambria"/>
        </w:rPr>
        <w:t>L</w:t>
      </w:r>
      <w:r w:rsidRPr="0B95B156">
        <w:rPr>
          <w:rFonts w:ascii="Cambria" w:hAnsi="Cambria"/>
        </w:rPr>
        <w:t>abor management committee for the purpose of researching costs related to visa reimbursements for bargaining unit members</w:t>
      </w:r>
    </w:p>
    <w:p w14:paraId="36AB8FD5" w14:textId="77777777" w:rsidR="00AA1D5D" w:rsidRDefault="00AA1D5D" w:rsidP="00B23C67">
      <w:pPr>
        <w:spacing w:line="240" w:lineRule="auto"/>
        <w:contextualSpacing/>
        <w:rPr>
          <w:rFonts w:ascii="Cambria" w:hAnsi="Cambria"/>
          <w:b/>
          <w:bCs/>
        </w:rPr>
      </w:pPr>
    </w:p>
    <w:p w14:paraId="6EB9AD80" w14:textId="77777777" w:rsidR="00067E01" w:rsidRDefault="006028F2" w:rsidP="00B23C67">
      <w:pPr>
        <w:spacing w:line="240" w:lineRule="auto"/>
        <w:contextualSpacing/>
        <w:rPr>
          <w:rFonts w:ascii="Cambria" w:hAnsi="Cambria"/>
          <w:b/>
          <w:bCs/>
        </w:rPr>
      </w:pPr>
      <w:r w:rsidRPr="006028F2">
        <w:rPr>
          <w:rFonts w:ascii="Cambria" w:hAnsi="Cambria"/>
          <w:b/>
          <w:bCs/>
        </w:rPr>
        <w:t>Parental Leave</w:t>
      </w:r>
    </w:p>
    <w:p w14:paraId="64420082" w14:textId="77777777" w:rsidR="006028F2" w:rsidRDefault="006028F2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Parental </w:t>
      </w:r>
      <w:r w:rsidR="00E2552F" w:rsidRPr="0B95B156">
        <w:rPr>
          <w:rFonts w:ascii="Cambria" w:hAnsi="Cambria"/>
        </w:rPr>
        <w:t>leave to</w:t>
      </w:r>
      <w:r w:rsidR="00556454" w:rsidRPr="0B95B156">
        <w:rPr>
          <w:rFonts w:ascii="Cambria" w:hAnsi="Cambria"/>
        </w:rPr>
        <w:t xml:space="preserve"> </w:t>
      </w:r>
      <w:r w:rsidR="78F4DAB0" w:rsidRPr="0B95B156">
        <w:rPr>
          <w:rFonts w:ascii="Cambria" w:hAnsi="Cambria"/>
        </w:rPr>
        <w:t xml:space="preserve">faculty on </w:t>
      </w:r>
      <w:r w:rsidR="00556454" w:rsidRPr="0B95B156">
        <w:rPr>
          <w:rFonts w:ascii="Cambria" w:hAnsi="Cambria"/>
        </w:rPr>
        <w:t>continuing appointment</w:t>
      </w:r>
      <w:r w:rsidR="00E2552F">
        <w:rPr>
          <w:rFonts w:ascii="Cambria" w:hAnsi="Cambria"/>
        </w:rPr>
        <w:t>.</w:t>
      </w:r>
    </w:p>
    <w:p w14:paraId="531A628D" w14:textId="77777777" w:rsidR="00556454" w:rsidRDefault="00556454" w:rsidP="00B23C67">
      <w:pPr>
        <w:spacing w:line="240" w:lineRule="auto"/>
        <w:contextualSpacing/>
        <w:rPr>
          <w:rFonts w:ascii="Cambria" w:hAnsi="Cambria"/>
        </w:rPr>
      </w:pPr>
    </w:p>
    <w:p w14:paraId="3643A792" w14:textId="77777777" w:rsidR="00556454" w:rsidRDefault="7825D9E6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lastRenderedPageBreak/>
        <w:t>I</w:t>
      </w:r>
      <w:r w:rsidR="00656ED9" w:rsidRPr="0B95B156">
        <w:rPr>
          <w:rFonts w:ascii="Cambria" w:hAnsi="Cambria"/>
        </w:rPr>
        <w:t>n the event of the birth/adoption of a child occurs during the period of non-responsibility</w:t>
      </w:r>
      <w:r w:rsidR="00E71451" w:rsidRPr="0B95B156">
        <w:rPr>
          <w:rFonts w:ascii="Cambria" w:hAnsi="Cambria"/>
        </w:rPr>
        <w:t xml:space="preserve"> (summer or winter)</w:t>
      </w:r>
      <w:r w:rsidR="00656ED9" w:rsidRPr="0B95B156">
        <w:rPr>
          <w:rFonts w:ascii="Cambria" w:hAnsi="Cambria"/>
        </w:rPr>
        <w:t xml:space="preserve">, the faculty member may choose to either take the semester before or the semester after the birth. </w:t>
      </w:r>
    </w:p>
    <w:p w14:paraId="5C80588A" w14:textId="77777777" w:rsidR="00250458" w:rsidRDefault="00250458" w:rsidP="00B23C67">
      <w:pPr>
        <w:spacing w:line="240" w:lineRule="auto"/>
        <w:contextualSpacing/>
        <w:rPr>
          <w:rFonts w:ascii="Cambria" w:hAnsi="Cambria"/>
        </w:rPr>
      </w:pPr>
    </w:p>
    <w:p w14:paraId="42D1916E" w14:textId="77777777" w:rsidR="00250458" w:rsidRPr="00623514" w:rsidRDefault="00623514" w:rsidP="00B23C67">
      <w:pPr>
        <w:spacing w:line="240" w:lineRule="auto"/>
        <w:contextualSpacing/>
        <w:rPr>
          <w:rFonts w:ascii="Cambria" w:hAnsi="Cambria"/>
          <w:b/>
          <w:bCs/>
        </w:rPr>
      </w:pPr>
      <w:r w:rsidRPr="00623514">
        <w:rPr>
          <w:rFonts w:ascii="Cambria" w:hAnsi="Cambria"/>
          <w:b/>
          <w:bCs/>
        </w:rPr>
        <w:t xml:space="preserve">Bereavement Leave </w:t>
      </w:r>
    </w:p>
    <w:p w14:paraId="7CC506FE" w14:textId="77777777" w:rsidR="00DA6284" w:rsidRDefault="008F4AF6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>Terms were updated to be gender inclusive</w:t>
      </w:r>
      <w:r w:rsidR="004C1E7B" w:rsidRPr="0B95B156">
        <w:rPr>
          <w:rFonts w:ascii="Cambria" w:hAnsi="Cambria"/>
        </w:rPr>
        <w:t>, which now include partner, sibling, and step sibling</w:t>
      </w:r>
      <w:r w:rsidR="00807E14" w:rsidRPr="0B95B156">
        <w:rPr>
          <w:rFonts w:ascii="Cambria" w:hAnsi="Cambria"/>
        </w:rPr>
        <w:t xml:space="preserve"> for up to 4 days of leave, one can be delayed for later</w:t>
      </w:r>
      <w:r w:rsidR="00DA6284" w:rsidRPr="0B95B156">
        <w:rPr>
          <w:rFonts w:ascii="Cambria" w:hAnsi="Cambria"/>
        </w:rPr>
        <w:t xml:space="preserve"> use</w:t>
      </w:r>
      <w:r w:rsidR="004C1E7B" w:rsidRPr="0B95B156">
        <w:rPr>
          <w:rFonts w:ascii="Cambria" w:hAnsi="Cambria"/>
        </w:rPr>
        <w:t xml:space="preserve">. </w:t>
      </w:r>
    </w:p>
    <w:p w14:paraId="2DAA3CE7" w14:textId="77777777" w:rsidR="00DA6284" w:rsidRDefault="00DA6284" w:rsidP="00B23C67">
      <w:pPr>
        <w:spacing w:line="240" w:lineRule="auto"/>
        <w:contextualSpacing/>
        <w:rPr>
          <w:rFonts w:ascii="Cambria" w:hAnsi="Cambria"/>
        </w:rPr>
      </w:pPr>
    </w:p>
    <w:p w14:paraId="76EF42DB" w14:textId="77777777" w:rsidR="00623514" w:rsidRDefault="008E55E0" w:rsidP="00B23C67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An additional </w:t>
      </w:r>
      <w:r w:rsidR="10D15100" w:rsidRPr="0B95B156">
        <w:rPr>
          <w:rFonts w:ascii="Cambria" w:hAnsi="Cambria"/>
        </w:rPr>
        <w:t xml:space="preserve">day (now 2) </w:t>
      </w:r>
      <w:r w:rsidRPr="0B95B156">
        <w:rPr>
          <w:rFonts w:ascii="Cambria" w:hAnsi="Cambria"/>
        </w:rPr>
        <w:t xml:space="preserve">was added </w:t>
      </w:r>
      <w:r w:rsidR="10FCA13E" w:rsidRPr="0B95B156">
        <w:rPr>
          <w:rFonts w:ascii="Cambria" w:hAnsi="Cambria"/>
        </w:rPr>
        <w:t>i</w:t>
      </w:r>
      <w:r w:rsidRPr="0B95B156">
        <w:rPr>
          <w:rFonts w:ascii="Cambria" w:hAnsi="Cambria"/>
        </w:rPr>
        <w:t xml:space="preserve"> </w:t>
      </w:r>
      <w:r w:rsidR="1E71BD89" w:rsidRPr="0B95B156">
        <w:rPr>
          <w:rFonts w:ascii="Cambria" w:hAnsi="Cambria"/>
        </w:rPr>
        <w:t xml:space="preserve">for </w:t>
      </w:r>
      <w:r w:rsidRPr="0B95B156">
        <w:rPr>
          <w:rFonts w:ascii="Cambria" w:hAnsi="Cambria"/>
        </w:rPr>
        <w:t>parent’s sibling, child’s spouse, or the spouse’s or partner’s sibling or grandparent or grandchild</w:t>
      </w:r>
      <w:r w:rsidR="7090BC8F" w:rsidRPr="0B95B156">
        <w:rPr>
          <w:rFonts w:ascii="Cambria" w:hAnsi="Cambria"/>
        </w:rPr>
        <w:t>.</w:t>
      </w:r>
    </w:p>
    <w:p w14:paraId="53E4BCB3" w14:textId="77777777" w:rsidR="00DA6284" w:rsidRDefault="00DA6284" w:rsidP="00B23C67">
      <w:pPr>
        <w:spacing w:line="240" w:lineRule="auto"/>
        <w:contextualSpacing/>
        <w:rPr>
          <w:rFonts w:ascii="Cambria" w:hAnsi="Cambria"/>
        </w:rPr>
      </w:pPr>
    </w:p>
    <w:p w14:paraId="092803A9" w14:textId="77777777" w:rsidR="00DA6284" w:rsidRDefault="005C5017" w:rsidP="00B23C67">
      <w:pPr>
        <w:spacing w:line="240" w:lineRule="auto"/>
        <w:contextualSpacing/>
        <w:rPr>
          <w:rFonts w:ascii="Cambria" w:hAnsi="Cambria"/>
          <w:b/>
          <w:bCs/>
        </w:rPr>
      </w:pPr>
      <w:r w:rsidRPr="005C5017">
        <w:rPr>
          <w:rFonts w:ascii="Cambria" w:hAnsi="Cambria"/>
          <w:b/>
          <w:bCs/>
        </w:rPr>
        <w:t xml:space="preserve">Energy Savings/Partial Campus Closure Days </w:t>
      </w:r>
    </w:p>
    <w:p w14:paraId="5F211BB2" w14:textId="77777777" w:rsidR="004D5B9B" w:rsidRDefault="006421E2" w:rsidP="006421E2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Partial campus closure period shall be the day after Thanksgiving and the immediate two (2) workdays following the Christmas holiday. </w:t>
      </w:r>
      <w:r w:rsidR="00344BE6" w:rsidRPr="0B95B156">
        <w:rPr>
          <w:rFonts w:ascii="Cambria" w:hAnsi="Cambria"/>
        </w:rPr>
        <w:t xml:space="preserve">All </w:t>
      </w:r>
      <w:r w:rsidRPr="0B95B156">
        <w:rPr>
          <w:rFonts w:ascii="Cambria" w:hAnsi="Cambria"/>
        </w:rPr>
        <w:t>non-essential staff are encouraged to use available vacation or personal time for each of the (3) three Energy Savings Closure.</w:t>
      </w:r>
      <w:r w:rsidR="00A421CC" w:rsidRPr="0B95B156">
        <w:rPr>
          <w:rFonts w:ascii="Cambria" w:hAnsi="Cambria"/>
        </w:rPr>
        <w:t xml:space="preserve"> </w:t>
      </w:r>
      <w:r w:rsidR="00A421CC" w:rsidRPr="00A837E5">
        <w:rPr>
          <w:rFonts w:ascii="Cambria" w:hAnsi="Cambria"/>
          <w:u w:val="single"/>
        </w:rPr>
        <w:t>Thanksgiving shall automatically be dedicated as a personal day</w:t>
      </w:r>
      <w:r w:rsidR="00924717" w:rsidRPr="0B95B156">
        <w:rPr>
          <w:rFonts w:ascii="Cambria" w:hAnsi="Cambria"/>
        </w:rPr>
        <w:t xml:space="preserve">, unless worked by the bargaining unit member. </w:t>
      </w:r>
      <w:r w:rsidR="004E16E6" w:rsidRPr="0B95B156">
        <w:rPr>
          <w:rFonts w:ascii="Cambria" w:hAnsi="Cambria"/>
        </w:rPr>
        <w:t xml:space="preserve">However, if the employee opts to work remotely on the day after Thanksgiving, then the </w:t>
      </w:r>
      <w:r w:rsidR="004E16E6" w:rsidRPr="0B95B156">
        <w:rPr>
          <w:rFonts w:ascii="Cambria" w:eastAsia="Cambria" w:hAnsi="Cambria" w:cs="Cambria"/>
        </w:rPr>
        <w:t>f</w:t>
      </w:r>
      <w:r w:rsidR="004E16E6" w:rsidRPr="0B95B156">
        <w:rPr>
          <w:rFonts w:ascii="Cambria" w:hAnsi="Cambria"/>
        </w:rPr>
        <w:t>ifth personal day may be used at any time through the end of the calendar year.</w:t>
      </w:r>
    </w:p>
    <w:p w14:paraId="14306970" w14:textId="77777777" w:rsidR="004E16E6" w:rsidRDefault="004E16E6" w:rsidP="006421E2">
      <w:pPr>
        <w:spacing w:line="240" w:lineRule="auto"/>
        <w:contextualSpacing/>
        <w:rPr>
          <w:rFonts w:ascii="Cambria" w:hAnsi="Cambria"/>
        </w:rPr>
      </w:pPr>
    </w:p>
    <w:p w14:paraId="2049A523" w14:textId="77777777" w:rsidR="00151837" w:rsidRPr="00151837" w:rsidRDefault="00151837" w:rsidP="006421E2">
      <w:pPr>
        <w:spacing w:line="240" w:lineRule="auto"/>
        <w:contextualSpacing/>
        <w:rPr>
          <w:rFonts w:ascii="Cambria" w:hAnsi="Cambria"/>
          <w:b/>
          <w:bCs/>
        </w:rPr>
      </w:pPr>
      <w:r w:rsidRPr="00151837">
        <w:rPr>
          <w:rFonts w:ascii="Cambria" w:hAnsi="Cambria"/>
          <w:b/>
          <w:bCs/>
        </w:rPr>
        <w:t>Annual Evaluations</w:t>
      </w:r>
      <w:r>
        <w:rPr>
          <w:rFonts w:ascii="Cambria" w:hAnsi="Cambria"/>
          <w:b/>
          <w:bCs/>
        </w:rPr>
        <w:t xml:space="preserve"> for Faculty </w:t>
      </w:r>
    </w:p>
    <w:p w14:paraId="4450F313" w14:textId="77777777" w:rsidR="00151943" w:rsidRDefault="00151837" w:rsidP="006421E2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If student evaluations are not available for </w:t>
      </w:r>
      <w:proofErr w:type="gramStart"/>
      <w:r w:rsidRPr="0B95B156">
        <w:rPr>
          <w:rFonts w:ascii="Cambria" w:hAnsi="Cambria"/>
        </w:rPr>
        <w:t>the review</w:t>
      </w:r>
      <w:proofErr w:type="gramEnd"/>
      <w:r w:rsidRPr="0B95B156">
        <w:rPr>
          <w:rFonts w:ascii="Cambria" w:hAnsi="Cambria"/>
        </w:rPr>
        <w:t xml:space="preserve"> due to factors beyond the faculty’s member’s control (e.g. they were lost, not appropriately administered, or destroyed by the university), </w:t>
      </w:r>
      <w:r w:rsidR="48C52259" w:rsidRPr="0B95B156">
        <w:rPr>
          <w:rFonts w:ascii="Cambria" w:hAnsi="Cambria"/>
        </w:rPr>
        <w:t>no</w:t>
      </w:r>
      <w:r w:rsidR="00E2552F">
        <w:rPr>
          <w:rFonts w:ascii="Cambria" w:hAnsi="Cambria"/>
        </w:rPr>
        <w:t xml:space="preserve"> </w:t>
      </w:r>
      <w:r w:rsidRPr="0B95B156">
        <w:rPr>
          <w:rFonts w:ascii="Cambria" w:hAnsi="Cambria"/>
        </w:rPr>
        <w:t xml:space="preserve">negative impact </w:t>
      </w:r>
      <w:r w:rsidR="00E2552F" w:rsidRPr="0B95B156">
        <w:rPr>
          <w:rFonts w:ascii="Cambria" w:hAnsi="Cambria"/>
        </w:rPr>
        <w:t>to faculty</w:t>
      </w:r>
      <w:r w:rsidRPr="0B95B156">
        <w:rPr>
          <w:rFonts w:ascii="Cambria" w:hAnsi="Cambria"/>
        </w:rPr>
        <w:t xml:space="preserve"> </w:t>
      </w:r>
      <w:proofErr w:type="gramStart"/>
      <w:r w:rsidRPr="0B95B156">
        <w:rPr>
          <w:rFonts w:ascii="Cambria" w:hAnsi="Cambria"/>
        </w:rPr>
        <w:t>member</w:t>
      </w:r>
      <w:proofErr w:type="gramEnd"/>
    </w:p>
    <w:p w14:paraId="708A050E" w14:textId="77777777" w:rsidR="00151837" w:rsidRDefault="00151837" w:rsidP="006421E2">
      <w:pPr>
        <w:spacing w:line="240" w:lineRule="auto"/>
        <w:contextualSpacing/>
        <w:rPr>
          <w:rFonts w:ascii="Cambria" w:hAnsi="Cambria"/>
        </w:rPr>
      </w:pPr>
    </w:p>
    <w:p w14:paraId="79F0CC2A" w14:textId="77777777" w:rsidR="00151837" w:rsidRDefault="00151837" w:rsidP="006421E2">
      <w:pPr>
        <w:spacing w:line="240" w:lineRule="auto"/>
        <w:contextualSpacing/>
        <w:rPr>
          <w:rFonts w:ascii="Cambria" w:hAnsi="Cambria"/>
          <w:b/>
          <w:bCs/>
        </w:rPr>
      </w:pPr>
      <w:r w:rsidRPr="00151837">
        <w:rPr>
          <w:rFonts w:ascii="Cambria" w:hAnsi="Cambria"/>
          <w:b/>
          <w:bCs/>
        </w:rPr>
        <w:t>Periodic Multi Year Review (PMYR)</w:t>
      </w:r>
    </w:p>
    <w:p w14:paraId="25D55E9F" w14:textId="77777777" w:rsidR="00151837" w:rsidRDefault="0031373B" w:rsidP="006421E2">
      <w:pPr>
        <w:spacing w:line="240" w:lineRule="auto"/>
        <w:contextualSpacing/>
        <w:rPr>
          <w:rFonts w:ascii="Cambria" w:hAnsi="Cambria"/>
        </w:rPr>
      </w:pPr>
      <w:r w:rsidRPr="0B95B156">
        <w:rPr>
          <w:rFonts w:ascii="Cambria" w:hAnsi="Cambria"/>
        </w:rPr>
        <w:t xml:space="preserve">PMYR </w:t>
      </w:r>
      <w:r w:rsidR="245BA6AC" w:rsidRPr="0B95B156">
        <w:rPr>
          <w:rFonts w:ascii="Cambria" w:hAnsi="Cambria"/>
        </w:rPr>
        <w:t xml:space="preserve">extended to </w:t>
      </w:r>
      <w:r w:rsidR="007B29F2" w:rsidRPr="0B95B156">
        <w:rPr>
          <w:rFonts w:ascii="Cambria" w:hAnsi="Cambria"/>
        </w:rPr>
        <w:t>Senior Lecturer IIIs</w:t>
      </w:r>
      <w:r w:rsidR="7C2BA125" w:rsidRPr="0B95B156">
        <w:rPr>
          <w:rFonts w:ascii="Cambria" w:hAnsi="Cambria"/>
        </w:rPr>
        <w:t xml:space="preserve"> - </w:t>
      </w:r>
      <w:r w:rsidR="00835FC5" w:rsidRPr="0B95B156">
        <w:rPr>
          <w:rFonts w:ascii="Cambria" w:hAnsi="Cambria"/>
        </w:rPr>
        <w:t xml:space="preserve">eligible for a $1,500 award. </w:t>
      </w:r>
      <w:r w:rsidR="00BB2F12" w:rsidRPr="0B95B156">
        <w:rPr>
          <w:rFonts w:ascii="Cambria" w:hAnsi="Cambria"/>
        </w:rPr>
        <w:t>A PMYR process has been created for this purpose</w:t>
      </w:r>
      <w:r w:rsidR="007E0383" w:rsidRPr="0B95B156">
        <w:rPr>
          <w:rFonts w:ascii="Cambria" w:hAnsi="Cambria"/>
        </w:rPr>
        <w:t xml:space="preserve"> (Appendix A</w:t>
      </w:r>
      <w:r w:rsidR="00C32A16" w:rsidRPr="0B95B156">
        <w:rPr>
          <w:rFonts w:ascii="Cambria" w:hAnsi="Cambria"/>
        </w:rPr>
        <w:t xml:space="preserve">: SL3). </w:t>
      </w:r>
      <w:r w:rsidR="00835FC5" w:rsidRPr="0B95B156">
        <w:rPr>
          <w:rFonts w:ascii="Cambria" w:hAnsi="Cambria"/>
        </w:rPr>
        <w:t xml:space="preserve">Librarians </w:t>
      </w:r>
      <w:r w:rsidR="00E2552F" w:rsidRPr="0B95B156">
        <w:rPr>
          <w:rFonts w:ascii="Cambria" w:hAnsi="Cambria"/>
        </w:rPr>
        <w:t>are now</w:t>
      </w:r>
      <w:r w:rsidR="00E77268" w:rsidRPr="0B95B156">
        <w:rPr>
          <w:rFonts w:ascii="Cambria" w:hAnsi="Cambria"/>
        </w:rPr>
        <w:t xml:space="preserve"> eligible for the $1,500 award</w:t>
      </w:r>
      <w:r w:rsidR="00BB2F12" w:rsidRPr="0B95B156">
        <w:rPr>
          <w:rFonts w:ascii="Cambria" w:hAnsi="Cambria"/>
        </w:rPr>
        <w:t xml:space="preserve">. </w:t>
      </w:r>
    </w:p>
    <w:p w14:paraId="059BBAE1" w14:textId="77777777" w:rsidR="003A68D7" w:rsidRDefault="003A68D7" w:rsidP="006421E2">
      <w:pPr>
        <w:spacing w:line="240" w:lineRule="auto"/>
        <w:contextualSpacing/>
        <w:rPr>
          <w:rFonts w:ascii="Cambria" w:hAnsi="Cambria"/>
        </w:rPr>
      </w:pPr>
    </w:p>
    <w:p w14:paraId="425CF74B" w14:textId="77777777" w:rsidR="003A68D7" w:rsidRDefault="003A68D7" w:rsidP="006421E2">
      <w:pPr>
        <w:spacing w:line="240" w:lineRule="auto"/>
        <w:contextualSpacing/>
        <w:rPr>
          <w:rFonts w:ascii="Cambria" w:hAnsi="Cambria"/>
          <w:b/>
          <w:bCs/>
        </w:rPr>
      </w:pPr>
      <w:r w:rsidRPr="003A68D7">
        <w:rPr>
          <w:rFonts w:ascii="Cambria" w:hAnsi="Cambria"/>
          <w:b/>
          <w:bCs/>
        </w:rPr>
        <w:t xml:space="preserve">Flexible Work Agreements </w:t>
      </w:r>
    </w:p>
    <w:p w14:paraId="0387E2E0" w14:textId="77777777" w:rsidR="003A68D7" w:rsidRDefault="00B81266" w:rsidP="006421E2">
      <w:pPr>
        <w:spacing w:line="240" w:lineRule="auto"/>
        <w:contextualSpacing/>
        <w:rPr>
          <w:rFonts w:ascii="Cambria" w:hAnsi="Cambria"/>
        </w:rPr>
      </w:pPr>
      <w:r w:rsidRPr="00B81266">
        <w:rPr>
          <w:rFonts w:ascii="Cambria" w:hAnsi="Cambria"/>
        </w:rPr>
        <w:t xml:space="preserve">The parties agree that a committee will be established to consider </w:t>
      </w:r>
      <w:r>
        <w:rPr>
          <w:rFonts w:ascii="Cambria" w:eastAsia="Cambria" w:hAnsi="Cambria" w:cs="Cambria"/>
        </w:rPr>
        <w:t>f</w:t>
      </w:r>
      <w:r w:rsidRPr="00B81266">
        <w:rPr>
          <w:rFonts w:ascii="Cambria" w:hAnsi="Cambria"/>
        </w:rPr>
        <w:t xml:space="preserve">lexible work process guidelines and implementation procedures. The parties will review the guidelines </w:t>
      </w:r>
      <w:proofErr w:type="gramStart"/>
      <w:r w:rsidRPr="00B81266">
        <w:rPr>
          <w:rFonts w:ascii="Cambria" w:hAnsi="Cambria"/>
        </w:rPr>
        <w:t>instituted</w:t>
      </w:r>
      <w:proofErr w:type="gramEnd"/>
      <w:r w:rsidRPr="00B81266">
        <w:rPr>
          <w:rFonts w:ascii="Cambria" w:hAnsi="Cambria"/>
        </w:rPr>
        <w:t xml:space="preserve"> at the UMass Amherst campus to consider the relevance of a </w:t>
      </w:r>
      <w:r>
        <w:rPr>
          <w:rFonts w:ascii="Cambria" w:eastAsia="Cambria" w:hAnsi="Cambria" w:cs="Cambria"/>
        </w:rPr>
        <w:t>f</w:t>
      </w:r>
      <w:r w:rsidRPr="00B81266">
        <w:rPr>
          <w:rFonts w:ascii="Cambria" w:hAnsi="Cambria"/>
        </w:rPr>
        <w:t>lexible work policy at UMass Boston.</w:t>
      </w:r>
    </w:p>
    <w:p w14:paraId="0F174AB3" w14:textId="77777777" w:rsidR="00B81266" w:rsidRDefault="00B81266" w:rsidP="006421E2">
      <w:pPr>
        <w:spacing w:line="240" w:lineRule="auto"/>
        <w:contextualSpacing/>
        <w:rPr>
          <w:rFonts w:ascii="Cambria" w:hAnsi="Cambria"/>
        </w:rPr>
      </w:pPr>
    </w:p>
    <w:sectPr w:rsidR="00B8126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8780" w14:textId="77777777" w:rsidR="00D91B53" w:rsidRDefault="00D91B53" w:rsidP="001F75CB">
      <w:pPr>
        <w:spacing w:after="0" w:line="240" w:lineRule="auto"/>
      </w:pPr>
      <w:r>
        <w:separator/>
      </w:r>
    </w:p>
  </w:endnote>
  <w:endnote w:type="continuationSeparator" w:id="0">
    <w:p w14:paraId="1E6B79BF" w14:textId="77777777" w:rsidR="00D91B53" w:rsidRDefault="00D91B53" w:rsidP="001F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977168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32BD999A" w14:textId="77777777" w:rsidR="00151943" w:rsidRPr="00151943" w:rsidRDefault="00151943">
        <w:pPr>
          <w:pStyle w:val="Footer"/>
          <w:jc w:val="center"/>
          <w:rPr>
            <w:rFonts w:ascii="Cambria" w:hAnsi="Cambria"/>
          </w:rPr>
        </w:pPr>
        <w:r w:rsidRPr="00151943">
          <w:rPr>
            <w:rFonts w:ascii="Cambria" w:hAnsi="Cambria"/>
          </w:rPr>
          <w:fldChar w:fldCharType="begin"/>
        </w:r>
        <w:r w:rsidRPr="00151943">
          <w:rPr>
            <w:rFonts w:ascii="Cambria" w:hAnsi="Cambria"/>
          </w:rPr>
          <w:instrText xml:space="preserve"> PAGE   \* MERGEFORMAT </w:instrText>
        </w:r>
        <w:r w:rsidRPr="00151943">
          <w:rPr>
            <w:rFonts w:ascii="Cambria" w:hAnsi="Cambria"/>
          </w:rPr>
          <w:fldChar w:fldCharType="separate"/>
        </w:r>
        <w:r w:rsidRPr="00151943">
          <w:rPr>
            <w:rFonts w:ascii="Cambria" w:hAnsi="Cambria"/>
            <w:noProof/>
          </w:rPr>
          <w:t>2</w:t>
        </w:r>
        <w:r w:rsidRPr="00151943">
          <w:rPr>
            <w:rFonts w:ascii="Cambria" w:hAnsi="Cambria"/>
            <w:noProof/>
          </w:rPr>
          <w:fldChar w:fldCharType="end"/>
        </w:r>
      </w:p>
    </w:sdtContent>
  </w:sdt>
  <w:p w14:paraId="2EBA6484" w14:textId="77777777" w:rsidR="00151943" w:rsidRDefault="00151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69F2" w14:textId="77777777" w:rsidR="00D91B53" w:rsidRDefault="00D91B53" w:rsidP="001F75CB">
      <w:pPr>
        <w:spacing w:after="0" w:line="240" w:lineRule="auto"/>
      </w:pPr>
      <w:r>
        <w:separator/>
      </w:r>
    </w:p>
  </w:footnote>
  <w:footnote w:type="continuationSeparator" w:id="0">
    <w:p w14:paraId="498E873C" w14:textId="77777777" w:rsidR="00D91B53" w:rsidRDefault="00D91B53" w:rsidP="001F7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9"/>
    <w:rsid w:val="00067E01"/>
    <w:rsid w:val="0010EBB0"/>
    <w:rsid w:val="001444C7"/>
    <w:rsid w:val="00151837"/>
    <w:rsid w:val="00151943"/>
    <w:rsid w:val="001E3152"/>
    <w:rsid w:val="001F75CB"/>
    <w:rsid w:val="0022333D"/>
    <w:rsid w:val="00250458"/>
    <w:rsid w:val="00265199"/>
    <w:rsid w:val="00284313"/>
    <w:rsid w:val="002F067A"/>
    <w:rsid w:val="002F7040"/>
    <w:rsid w:val="0031373B"/>
    <w:rsid w:val="00344BE6"/>
    <w:rsid w:val="003A68D7"/>
    <w:rsid w:val="0044F1C1"/>
    <w:rsid w:val="004C0B3E"/>
    <w:rsid w:val="004C1E7B"/>
    <w:rsid w:val="004D5B9B"/>
    <w:rsid w:val="004E16E6"/>
    <w:rsid w:val="004F0014"/>
    <w:rsid w:val="004F6469"/>
    <w:rsid w:val="00555615"/>
    <w:rsid w:val="00556454"/>
    <w:rsid w:val="00583787"/>
    <w:rsid w:val="005C5017"/>
    <w:rsid w:val="005F0F6F"/>
    <w:rsid w:val="005F47DD"/>
    <w:rsid w:val="006028F2"/>
    <w:rsid w:val="00605C3C"/>
    <w:rsid w:val="00623514"/>
    <w:rsid w:val="006421E2"/>
    <w:rsid w:val="00646DCD"/>
    <w:rsid w:val="00656ED9"/>
    <w:rsid w:val="00664067"/>
    <w:rsid w:val="00684ECF"/>
    <w:rsid w:val="00701327"/>
    <w:rsid w:val="007938D7"/>
    <w:rsid w:val="007A3387"/>
    <w:rsid w:val="007B29F2"/>
    <w:rsid w:val="007E0383"/>
    <w:rsid w:val="007E1FC9"/>
    <w:rsid w:val="00807E14"/>
    <w:rsid w:val="00835FC5"/>
    <w:rsid w:val="008E55E0"/>
    <w:rsid w:val="008F31FA"/>
    <w:rsid w:val="008F4AF6"/>
    <w:rsid w:val="00924717"/>
    <w:rsid w:val="00976EB3"/>
    <w:rsid w:val="00A421CC"/>
    <w:rsid w:val="00A65569"/>
    <w:rsid w:val="00A837E5"/>
    <w:rsid w:val="00AA1D5D"/>
    <w:rsid w:val="00AD11D6"/>
    <w:rsid w:val="00B03CE5"/>
    <w:rsid w:val="00B23C67"/>
    <w:rsid w:val="00B81266"/>
    <w:rsid w:val="00B83F6B"/>
    <w:rsid w:val="00BB2F12"/>
    <w:rsid w:val="00C32A16"/>
    <w:rsid w:val="00C70BFB"/>
    <w:rsid w:val="00D24430"/>
    <w:rsid w:val="00D27390"/>
    <w:rsid w:val="00D8179A"/>
    <w:rsid w:val="00D91B53"/>
    <w:rsid w:val="00DA6284"/>
    <w:rsid w:val="00E03050"/>
    <w:rsid w:val="00E142FF"/>
    <w:rsid w:val="00E2552F"/>
    <w:rsid w:val="00E35FE1"/>
    <w:rsid w:val="00E71451"/>
    <w:rsid w:val="00E77268"/>
    <w:rsid w:val="00EC40BE"/>
    <w:rsid w:val="00EF302D"/>
    <w:rsid w:val="00FB6A42"/>
    <w:rsid w:val="00FC3D52"/>
    <w:rsid w:val="00FE5AD4"/>
    <w:rsid w:val="015940A1"/>
    <w:rsid w:val="01C6B443"/>
    <w:rsid w:val="09217A38"/>
    <w:rsid w:val="098B3B16"/>
    <w:rsid w:val="0B95B156"/>
    <w:rsid w:val="0BF60E36"/>
    <w:rsid w:val="10D15100"/>
    <w:rsid w:val="10FCA13E"/>
    <w:rsid w:val="119C6DD6"/>
    <w:rsid w:val="153710C1"/>
    <w:rsid w:val="18C6FEFD"/>
    <w:rsid w:val="18ECF563"/>
    <w:rsid w:val="1E24AF5A"/>
    <w:rsid w:val="1E71BD89"/>
    <w:rsid w:val="21577C7E"/>
    <w:rsid w:val="22E1203B"/>
    <w:rsid w:val="23266F9F"/>
    <w:rsid w:val="235693B3"/>
    <w:rsid w:val="245BA6AC"/>
    <w:rsid w:val="253A67FC"/>
    <w:rsid w:val="2607B291"/>
    <w:rsid w:val="28347FE2"/>
    <w:rsid w:val="29229336"/>
    <w:rsid w:val="2953BC36"/>
    <w:rsid w:val="2C707DB3"/>
    <w:rsid w:val="2DE27813"/>
    <w:rsid w:val="2E3B9051"/>
    <w:rsid w:val="309D7AEB"/>
    <w:rsid w:val="3109C457"/>
    <w:rsid w:val="311F6E07"/>
    <w:rsid w:val="35DB0B2B"/>
    <w:rsid w:val="3708DD10"/>
    <w:rsid w:val="37907EDB"/>
    <w:rsid w:val="37B1D172"/>
    <w:rsid w:val="3867C402"/>
    <w:rsid w:val="38803644"/>
    <w:rsid w:val="392AAD5A"/>
    <w:rsid w:val="3BE208C0"/>
    <w:rsid w:val="3E6E8A8C"/>
    <w:rsid w:val="3FED2274"/>
    <w:rsid w:val="40091516"/>
    <w:rsid w:val="4106AACF"/>
    <w:rsid w:val="4277FBCB"/>
    <w:rsid w:val="44931665"/>
    <w:rsid w:val="4645D66B"/>
    <w:rsid w:val="483E908D"/>
    <w:rsid w:val="48C52259"/>
    <w:rsid w:val="4914E3E4"/>
    <w:rsid w:val="4A400C95"/>
    <w:rsid w:val="4AD7E8BC"/>
    <w:rsid w:val="4EAFC410"/>
    <w:rsid w:val="4F4C1A18"/>
    <w:rsid w:val="5039E6E6"/>
    <w:rsid w:val="50BD0299"/>
    <w:rsid w:val="54EF8E8A"/>
    <w:rsid w:val="57705D36"/>
    <w:rsid w:val="57DF40D0"/>
    <w:rsid w:val="5B27017D"/>
    <w:rsid w:val="5D838DA1"/>
    <w:rsid w:val="5DC40DD6"/>
    <w:rsid w:val="5DEF63F7"/>
    <w:rsid w:val="5E580AF8"/>
    <w:rsid w:val="5E7E4544"/>
    <w:rsid w:val="5ECC6AD8"/>
    <w:rsid w:val="6036AFF4"/>
    <w:rsid w:val="60CE50A6"/>
    <w:rsid w:val="6204DDE8"/>
    <w:rsid w:val="69F56F7A"/>
    <w:rsid w:val="6A158C61"/>
    <w:rsid w:val="6A85F3E3"/>
    <w:rsid w:val="6D565033"/>
    <w:rsid w:val="6F248988"/>
    <w:rsid w:val="7089751C"/>
    <w:rsid w:val="7090BC8F"/>
    <w:rsid w:val="73183135"/>
    <w:rsid w:val="739638C1"/>
    <w:rsid w:val="74D72EDC"/>
    <w:rsid w:val="74DE1DA1"/>
    <w:rsid w:val="759790AD"/>
    <w:rsid w:val="75D31B6A"/>
    <w:rsid w:val="767DBC73"/>
    <w:rsid w:val="775F6ED1"/>
    <w:rsid w:val="781C6182"/>
    <w:rsid w:val="7825D9E6"/>
    <w:rsid w:val="78F4DAB0"/>
    <w:rsid w:val="79733C8F"/>
    <w:rsid w:val="7A162516"/>
    <w:rsid w:val="7A8E0797"/>
    <w:rsid w:val="7C2BA125"/>
    <w:rsid w:val="7E1AF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12B8"/>
  <w15:chartTrackingRefBased/>
  <w15:docId w15:val="{A4212552-AD25-4D2F-9FE0-EFD64525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99"/>
  </w:style>
  <w:style w:type="paragraph" w:styleId="Heading1">
    <w:name w:val="heading 1"/>
    <w:basedOn w:val="Normal"/>
    <w:next w:val="Normal"/>
    <w:link w:val="Heading1Char"/>
    <w:uiPriority w:val="9"/>
    <w:qFormat/>
    <w:rsid w:val="00265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19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23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C6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E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5CB"/>
  </w:style>
  <w:style w:type="paragraph" w:styleId="Footer">
    <w:name w:val="footer"/>
    <w:basedOn w:val="Normal"/>
    <w:link w:val="FooterChar"/>
    <w:uiPriority w:val="99"/>
    <w:unhideWhenUsed/>
    <w:rsid w:val="001F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5CB"/>
  </w:style>
  <w:style w:type="paragraph" w:styleId="Revision">
    <w:name w:val="Revision"/>
    <w:hidden/>
    <w:uiPriority w:val="99"/>
    <w:semiHidden/>
    <w:rsid w:val="00A837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3a59ec9-72ae-4468-8b69-a6fc079d6534">
      <Terms xmlns="http://schemas.microsoft.com/office/infopath/2007/PartnerControls"/>
    </lcf76f155ced4ddcb4097134ff3c332f>
    <TaxCatchAll xmlns="f6e3e907-bc34-45f2-9bd0-9583dc1f18f1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4CAAFA20B174C9D092CEDE2B75F72" ma:contentTypeVersion="19" ma:contentTypeDescription="Create a new document." ma:contentTypeScope="" ma:versionID="50cfcd3360f04827fed98f9209a86347">
  <xsd:schema xmlns:xsd="http://www.w3.org/2001/XMLSchema" xmlns:xs="http://www.w3.org/2001/XMLSchema" xmlns:p="http://schemas.microsoft.com/office/2006/metadata/properties" xmlns:ns1="http://schemas.microsoft.com/sharepoint/v3" xmlns:ns2="13a59ec9-72ae-4468-8b69-a6fc079d6534" xmlns:ns3="f6e3e907-bc34-45f2-9bd0-9583dc1f18f1" targetNamespace="http://schemas.microsoft.com/office/2006/metadata/properties" ma:root="true" ma:fieldsID="46b79bf550a7fdc90112792ceb966ee5" ns1:_="" ns2:_="" ns3:_="">
    <xsd:import namespace="http://schemas.microsoft.com/sharepoint/v3"/>
    <xsd:import namespace="13a59ec9-72ae-4468-8b69-a6fc079d6534"/>
    <xsd:import namespace="f6e3e907-bc34-45f2-9bd0-9583dc1f1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59ec9-72ae-4468-8b69-a6fc079d6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3e907-bc34-45f2-9bd0-9583dc1f1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964832-bc18-42a7-bfab-f3f523e046bb}" ma:internalName="TaxCatchAll" ma:showField="CatchAllData" ma:web="f6e3e907-bc34-45f2-9bd0-9583dc1f1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91C3CB-A717-4595-8114-BCA7F7F92D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a59ec9-72ae-4468-8b69-a6fc079d6534"/>
    <ds:schemaRef ds:uri="f6e3e907-bc34-45f2-9bd0-9583dc1f18f1"/>
  </ds:schemaRefs>
</ds:datastoreItem>
</file>

<file path=customXml/itemProps2.xml><?xml version="1.0" encoding="utf-8"?>
<ds:datastoreItem xmlns:ds="http://schemas.openxmlformats.org/officeDocument/2006/customXml" ds:itemID="{DA63ED23-5108-49ED-A636-73E867FA3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a59ec9-72ae-4468-8b69-a6fc079d6534"/>
    <ds:schemaRef ds:uri="f6e3e907-bc34-45f2-9bd0-9583dc1f1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A17AB-CEBD-4D32-A8E9-252740DBBB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7038</Characters>
  <Application>Microsoft Office Word</Application>
  <DocSecurity>0</DocSecurity>
  <Lines>254</Lines>
  <Paragraphs>152</Paragraphs>
  <ScaleCrop>false</ScaleCrop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 Coddington</dc:creator>
  <cp:keywords/>
  <dc:description/>
  <cp:lastModifiedBy>Sophie K Coddington</cp:lastModifiedBy>
  <cp:revision>3</cp:revision>
  <dcterms:created xsi:type="dcterms:W3CDTF">2025-07-29T21:01:00Z</dcterms:created>
  <dcterms:modified xsi:type="dcterms:W3CDTF">2025-10-09T16:44:00Z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0x01010022B4CAAFA20B174C9D092CEDE2B75F72</vt:lpwstr>
  </property>
  <property fmtid="{D5CDD505-2E9C-101B-9397-08002B2CF9AE}" pid="3" name="MediaServiceImageTags">
    <vt:lpwstr/>
  </property>
</Properties>
</file>